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terytorialny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GP.SMS287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udział w wykładach - 15 godz., 
b) udział w konsultacjach - 5 godz.
2. Praca własna studenta –5 godzin, w tym:
a) przygotowanie do zaliczenia i obecność na zaliczeniu - 5godz. 
Łączny nakład pracy studenta wynosi 25 godzin,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0,8, pkt. ECTS - liczba godzin kontaktowych: 20, w tym:
a) udział w wykładach - 15 godz., 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ekonomii, funkcjonowanie samorządu terytorialnego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na temat podstaw marketingu, produktu terytorialnego, narzędzi marketingowych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Marketing – podstawowe pojęcia. Marketing – mix.
Psychologiczne aspekty marketingu.
Istota  marketingu terytorialnego. 
Marka kraju, marka regionu. 
Instrumenty terytorialnego marketingu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kolokwium, albo odpowiedź ustna, albo prezetacja, raport, esej.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Simon Anholt. Tożsamość konkurencyjna. Nowe spojrzenie na markę, Warszawa, 2007.
2. Gospodarka regionalna i lokalna, red. Z. Strzelecki, PWN, Warszawa 2009.
3. Wally Olins, O marce, Instytut Marki Polskiej, Wyd. I, Warszawa 2004.
4. Andrzej Szromnik, Marketing terytorialny. Miasto i region na rynku, Oficyna a Wolters  Kluwer business, Kraków 2012.
5. Philip Kotler, Marketing. Analiza, planowanie wdrażanie i kontrola. FELBERG, Warszawa 1999 (lub każde następne wydanie)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GP.SMS287_W1: </w:t>
      </w:r>
    </w:p>
    <w:p>
      <w:pPr/>
      <w:r>
        <w:rPr/>
        <w:t xml:space="preserve">Zna instrumenty marketingu terytorialnego i ich zastosowanie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GP.SMS287_W2: </w:t>
      </w:r>
    </w:p>
    <w:p>
      <w:pPr/>
      <w:r>
        <w:rPr/>
        <w:t xml:space="preserve">Rozumie istotę marketingu terytorialnego i jego wpływ na rozwój regionalny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GP.SMS287_W3: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GP.SMS287_W4: </w:t>
      </w:r>
    </w:p>
    <w:p>
      <w:pPr/>
      <w:r>
        <w:rPr/>
        <w:t xml:space="preserve">Ma wiedzę o interdyscyplinarności procesu planowania i zarządzania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GP.SMS287_U1: </w:t>
      </w:r>
    </w:p>
    <w:p>
      <w:pPr/>
      <w:r>
        <w:rPr/>
        <w:t xml:space="preserve">Wie jak analizować uwarunkowania procesu planowania przestrzennego związane z marketingiem terytorialnym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keepNext w:val="1"/>
        <w:spacing w:after="10"/>
      </w:pPr>
      <w:r>
        <w:rPr>
          <w:b/>
          <w:bCs/>
        </w:rPr>
        <w:t xml:space="preserve">Efekt GP.SMS287_U2: </w:t>
      </w:r>
    </w:p>
    <w:p>
      <w:pPr/>
      <w:r>
        <w:rPr/>
        <w:t xml:space="preserve">Potrafi analizować wieloaspektowość procesu planowania przestrzennego, w tym aspekty marketingowe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GP.SMS287_K1: </w:t>
      </w:r>
    </w:p>
    <w:p>
      <w:pPr/>
      <w:r>
        <w:rPr/>
        <w:t xml:space="preserve">Jest świadomy skutków swojej działalności
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GP.SMS287_K2: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GP.SMS287_K3: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GP.SMS287_K4: </w:t>
      </w:r>
    </w:p>
    <w:p>
      <w:pPr/>
      <w:r>
        <w:rPr/>
        <w:t xml:space="preserve">Potrafi przewidywać różnorodne skutki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2026-03-22T17:51:07+01:00</dcterms:created>
  <dcterms:modified xsi:type="dcterms:W3CDTF">2026-03-22T17:51:07+01:00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