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Monitoring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Jolanta Kwiatkowska-Malina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40, w tym:
a)	wykład – 30 godz.
b)	konsultacje – 10 godz.
2. Praca własna studenta – 35 godzin, w tym:
a) przygotowanie do zaliczenia: 35 godz. 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 - liczba godzin kontaktowych: 40, w tym:
a)	wykład – 30 godz.
b)	konsultacje –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z przedmiotu Monitoring środowiska Student powinien posiadać wiedzę z przedmiotów: Gleboznawstwo,  Ekologia i ochrona środowiska, Zagadnienia prawne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60 -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organizacją i zasadami prowadzenia monitoringu środowiska, czynnikami powodującymi zanieczyszczenie poszczególnych komponentów środowiska oraz jego stanem, normami jakościowymi i oceną ich wiarygodności, a także do kwalifikacji elementów środowiska zgodnie z wymaganiami prawnymi. Wykształcenie umiejętności pozyskiwania, interpretacji i praktycznego wykorzystywania wyników pomiarów i ocen jako komponentów systemu zarządzania zasobami biotycznymi i abiotycznymi środowiska oraz umiejętności podejmowania decyzji co do działań gospodarczych zgodnie z zasadami zrównoważonego rozwoju, a w szczególności odpowiedzialnego i racjonalnego planowania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prowadzenia monitoringu stanu jakościowego i ilościowego środowiska w Polsce przede wszystkim w oparciu o system Państwowego Monitoringu Środowiska (PMŚ) w nawiązaniu do Komisji Europejskiej. W tym zakresie omawiane są źródła i przyczyny zanieczyszczenia środowiska, jego aktualny stan jakościowy i ilościowy oraz wskaźniki jakości. Wykłady obejmują: Podstawy monitoringu środowiska: definicje, przepisy prawne, cele i zadania, schemat funkcjonowania, sieć pomiarowa, wskaźniki jakości i system oceny/klasyfikacji. Organizacja monitoringu środowiska przyrodniczego w Polsce w ujęciu krajowym, regionalnym i lokalnym. Monitoring jakości powietrza (wielkość i zmienność emisji i immisji w Polsce na tle Europy, sieć krajowa oceny tła zanieczyszczeń wg programów międzynarodowych- EMEP, GAW/WMO), program ochrony powietrza. Monitoring jakości wód powierzchniowych, podziemnych, Morza Bałtyckiego. Monitoring gleby i ziemi. Monitoring przyrody (Monitoring Ptaków Polski, Monitoring gatunków i siedlisk przyrodniczych, Monitoring lasów, Zintegrowane oceny stanu środowiska przyrodniczego) w powiązaniu z monitoringiem europejskim. Monitoring klimatu akustycznego. Monitoring promieniowania jonizującego. Monitoring pól elektromagnetycznych. Podstawę prezentacji stanu jakościowego i ilościowego poszczególnych komponentów środowiska stanowią wyniki PMŚ. Przedstawione są także metody statystyczne opracowywania wyników obserwacji oraz podstawowe wymagania prawne dotyczące jakości wód powierzchniowych, podziemnych, opadowych, powietrza i gleb. 
Ostatni wykład będzie miał charakter interaktywny z wykorzystaniem innowacyjnych form kształcenia, w tym metod Design Thinking oraz Problem Based Learning &amp; Teamworking. Studenci zostaną podzieleni na zespoły, w ramach zadania/projektu zostaną poproszeni o zaproponowanie najlepszych metod monitoringu powietrza, gleb, wód powierzchniowych i podziemnych.
Zajęcia zostały przygotowane i będą prowadzone z wykorzystaniem innowacyjnych i kreatywnych form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formie pisemnego testu otwartego w dwóch etapach w terminach podanych na początku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Strategiczny program państwowego monitoringu środowiska na lata 2020-2025, Warszawa 2020
Ochrona środowiska 2020, Analizy statystyczne, GUS 2020
Stan środowiska Polsce, Raport 2018, BMŚ 2018
Sygnały EEA 2019 – Grunty i gleby w Europie
Sygnały EEA 2019 – Woda to życie
Wniosek dotyczący Dyrektywy Parlamentu Europejskiego i Rady ustanawiająca ramy dla ochrony gleb oraz zmieniającej dyrektywę 2004/35/WE, Bruksela, 22.9.2006, KOM(2006) 232 wersja ostateczna, 2006/0086 (COD)
Hoffman Sz., Jasiński R.: Uzupełnianie brakujących danych w systemach monitoringu powietrza. Wyd. Politechniki Częstochowskiej, 2009
Kłos A.: Porosty w biomonitoringu środowiska, Wyd. Uniwersytetu Opolskiego, Opole 2009
Kwiatkowska-Malina J.: Monitoring środowiska przyrodniczego. Oficyna Wyd. PW, Warszawa 2012 
Wardencki W. (praca zbiorowa) Bioanalityka w ocenie zanieczyszczeń środowiska, CEEAM, Gdańsk 2004
Wierzbicka M. (red.). Ekotoksykologia. Rośliny, gleby, metale. Uniwersytet Warszawski, 2015
Ustawa - Prawo ochrony środowiska, (Dz.U.2001.62.627, z późn. zm.)
Ustawa o ochronie przyrody (Dz.U.2004.92.880)
Ustawa o ochronie gruntów rolnych i leśnych (tekst jedn. Dz.U.2004.121.1266 z późn. zm.). 
Ustawa o zapobieganiu szkodom w środowisku i ich naprawie (Dz.U.2007.75.493)
Ustawa o udostępnianiu informacji o środowisku i jego ochronie, udziale społeczeństwa w ochronie środowiska oraz o ocenach oddziaływania na środowisko (Dz.U.2008.199.1227).
Ustawa prawo wodne (tekst jednolity Dz.U.2005.239.2019)
Rozporządzenie Ministra Środowiska z dnia 1 września 2016 r. w sprawie sposobu prowadzenia oceny zanieczyszczenia powierzchni ziemi (Dz.U.2016.1395).
http://www.gios.gov.pl
http://www.wios.warszawa.pl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GP.SMK104_W1: </w:t>
      </w:r>
    </w:p>
    <w:p>
      <w:pPr/>
      <w:r>
        <w:rPr/>
        <w:t xml:space="preserve">ma uporządkowaną, niezbędną wiedzę w zakresie systemów kontroli i oceny jakości stanu jakościowego i/lub ilościowego środowiska przyrodniczego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GP.SMK104_W2: </w:t>
      </w:r>
    </w:p>
    <w:p>
      <w:pPr/>
      <w:r>
        <w:rPr/>
        <w:t xml:space="preserve">ma dotyczącą skali zagrożeń naturalnych i antropogenicznych środowiska przyrodniczego w Polsce i na świecie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GP.SMK104_W3: </w:t>
      </w:r>
    </w:p>
    <w:p>
      <w:pPr/>
      <w:r>
        <w:rPr/>
        <w:t xml:space="preserve">ma wiedzę na temat struktury i funkcjonowania Państwowego Monitoringu Środowiska w Polsce, rozumie problemy wymagające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</w:t>
      </w:r>
    </w:p>
    <w:p>
      <w:pPr>
        <w:keepNext w:val="1"/>
        <w:spacing w:after="10"/>
      </w:pPr>
      <w:r>
        <w:rPr>
          <w:b/>
          <w:bCs/>
        </w:rPr>
        <w:t xml:space="preserve">Efekt GP.SMK104_W4: </w:t>
      </w:r>
    </w:p>
    <w:p>
      <w:pPr/>
      <w:r>
        <w:rPr/>
        <w:t xml:space="preserve">ma wiedzę z zakresu przepisów dotyczących planowania przestrzennego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GP.SMK104_U1: </w:t>
      </w:r>
    </w:p>
    <w:p>
      <w:pPr/>
      <w:r>
        <w:rPr/>
        <w:t xml:space="preserve">potrafi pozyskiwać informacje ze specjalistycznej literatury, baz danych i innych źródeł;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GP.SMK104_U2: </w:t>
      </w:r>
    </w:p>
    <w:p>
      <w:pPr/>
      <w:r>
        <w:rPr/>
        <w:t xml:space="preserve">potrafi określić cechy zasobów środowiska przyrodniczego mające wpływ na ich wartość w danej likalizacji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GP.SMK104_U3: </w:t>
      </w:r>
    </w:p>
    <w:p>
      <w:pPr/>
      <w:r>
        <w:rPr/>
        <w:t xml:space="preserve">potrafi integrować pozyskane informacje w szczególności dotyczące stanu środowiska, dokonywać ich interpretacji, a także wyciągać wnioski oraz formułować i wyczerpująco uzasadniać opinie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GP.SMK104_U4: </w:t>
      </w:r>
    </w:p>
    <w:p>
      <w:pPr/>
      <w:r>
        <w:rPr/>
        <w:t xml:space="preserve">biegle wykorzystuje literaturę specjalistyczną oraz inne opracowania w języku polskim,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GP.SMK104_U5: </w:t>
      </w:r>
    </w:p>
    <w:p>
      <w:pPr/>
      <w:r>
        <w:rPr/>
        <w:t xml:space="preserve">czyta w języku angielskim ze zrozumieniem teksty naukowe oraz interpretuje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P2A_U02</w:t>
      </w:r>
    </w:p>
    <w:p>
      <w:pPr>
        <w:keepNext w:val="1"/>
        <w:spacing w:after="10"/>
      </w:pPr>
      <w:r>
        <w:rPr>
          <w:b/>
          <w:bCs/>
        </w:rPr>
        <w:t xml:space="preserve">Efekt GP.SMK104_U6: </w:t>
      </w:r>
    </w:p>
    <w:p>
      <w:pPr/>
      <w:r>
        <w:rPr/>
        <w:t xml:space="preserve">potrafi interpretować wyniki dotyczące monitoringu stanu środowiska przyrodniczego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GP.SMK104_U7: </w:t>
      </w:r>
    </w:p>
    <w:p>
      <w:pPr/>
      <w:r>
        <w:rPr/>
        <w:t xml:space="preserve">potrafi  wskazać właściwe przeznaczenie obszaru  z wykorzystaniem informacji dotyczących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keepNext w:val="1"/>
        <w:spacing w:after="10"/>
      </w:pPr>
      <w:r>
        <w:rPr>
          <w:b/>
          <w:bCs/>
        </w:rPr>
        <w:t xml:space="preserve">Efekt GP.SMK104_U8: </w:t>
      </w:r>
    </w:p>
    <w:p>
      <w:pPr/>
      <w:r>
        <w:rPr/>
        <w:t xml:space="preserve">potrafi integrować pozyskane informacje z różnych źródeł, dokonywać ich
interpretacji, a także wyciągać wnioski oraz formułować i uzasadniać opinie w zakresie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GP.SMK104_K1: </w:t>
      </w:r>
    </w:p>
    <w:p>
      <w:pPr/>
      <w:r>
        <w:rPr/>
        <w:t xml:space="preserve">potrafi współpracować i pracować w zespole o różnej specjalności i podejmować wspólne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GP.SMK104_K2: </w:t>
      </w:r>
    </w:p>
    <w:p>
      <w:pPr/>
      <w:r>
        <w:rPr/>
        <w:t xml:space="preserve">potrafi przewidywać skutki swojej działalności związanej z interpretacją danych o stanie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p>
      <w:pPr>
        <w:keepNext w:val="1"/>
        <w:spacing w:after="10"/>
      </w:pPr>
      <w:r>
        <w:rPr>
          <w:b/>
          <w:bCs/>
        </w:rPr>
        <w:t xml:space="preserve">Efekt GP.SMK104_K3: </w:t>
      </w:r>
    </w:p>
    <w:p>
      <w:pPr/>
      <w:r>
        <w:rPr/>
        <w:t xml:space="preserve">potrafi przewidywać skutki swojej działalności i próbować niwelować ich znaczenie w odbiorze społecznym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2026-10-21T21:37:37+02:00</dcterms:created>
  <dcterms:modified xsi:type="dcterms:W3CDTF">2026-10-21T21:37:37+02:00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