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
o różnym pokryciu i użytkowaniu.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n4ce.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 U. z 2020 r., poz. 1429);
5. Rozporządzenie Ministra Administracji i Cyfryzacji z dn. 14 lutego 2012 r. w sprawie osnów geodezyjnych, grawimetrycznych i magnetycznych, Dz.U. z dn. 30 marca 2012 r., poz. 352;
6. Rozporządzenie Ministra Rozwoju, Pracy i Technologii z dnia 6 lipca 2021 r. w sprawie osnów  geodezyjnych, grawimetrycznych i magnetycznych (Dz. U. z 2021 r.  poz. 1341);
7. Rozporządzenie Ministra Rozwoju, Pracy i Technologii z dn. 23 lipca 2021 r. w sprawie bazy danych obiektów topograficznych oraz mapy zasadniczej (Dz.U. z dn. 30 lipca 2021 r., poz. 1385);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GK.NIK622_U1: </w:t>
      </w:r>
    </w:p>
    <w:p>
      <w:pPr/>
      <w:r>
        <w:rPr/>
        <w:t xml:space="preserve">Potrafi zakładać punkty osnów szczegółowych metoda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GK.NIK622_K2: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GK.NIK622_K3: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2026-10-01T14:20:15+02:00</dcterms:created>
  <dcterms:modified xsi:type="dcterms:W3CDTF">2026-10-01T14:20:15+02:00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