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GK.SIJ3_W01: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GK.SIJ3_U01: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T1A_U01, T1A_U02, T1A_U01, T1A_U06</w:t>
      </w:r>
    </w:p>
    <w:p>
      <w:pPr>
        <w:pStyle w:val="Heading3"/>
      </w:pPr>
      <w:bookmarkStart w:id="4" w:name="_Toc4"/>
      <w:r>
        <w:t>Profil ogólnoakademicki - kompetencje społeczne</w:t>
      </w:r>
      <w:bookmarkEnd w:id="4"/>
    </w:p>
    <w:p>
      <w:pPr>
        <w:keepNext w:val="1"/>
        <w:spacing w:after="10"/>
      </w:pPr>
      <w:r>
        <w:rPr>
          <w:b/>
          <w:bCs/>
        </w:rPr>
        <w:t xml:space="preserve">Efekt GK.SIJ3_K01: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2026-10-01T09:19:19+02:00</dcterms:created>
  <dcterms:modified xsi:type="dcterms:W3CDTF">2026-10-01T09:19:19+02:00</dcterms:modified>
</cp:coreProperties>
</file>

<file path=docProps/custom.xml><?xml version="1.0" encoding="utf-8"?>
<Properties xmlns="http://schemas.openxmlformats.org/officeDocument/2006/custom-properties" xmlns:vt="http://schemas.openxmlformats.org/officeDocument/2006/docPropsVTypes"/>
</file>