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oddziaływaniu promieniowania jonizującego z materią; aparaturze diagnostycznej wykorzystującej promieniowanie jonizujące; wielkościach i jednostkach dozymetrycznych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
Zasady ochrony radiologicznej.
Zakres zajęć projektowych obejmuje: 
Praktyczne obliczanie osłon przed promieniowaniem jonizującym. Opracowanie dokumentacji projektowej pracowni rentgenowskiej i izotopowej.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dn. 29 listopada 2000 r. - Prawo atomowe (Dz. U. z 2019 r. poz. 1792 oraz z 2020 r. poz. 284, 322) wraz z obowiązującymi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PPRI_W01: </w:t>
      </w:r>
    </w:p>
    <w:p>
      <w:pPr/>
      <w:r>
        <w:rPr/>
        <w:t xml:space="preserve">Zna cele i podstawowe zasady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PPRI_U01: </w:t>
      </w:r>
    </w:p>
    <w:p>
      <w:pPr/>
      <w:r>
        <w:rPr/>
        <w:t xml:space="preserve">Potrafi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2026-10-01T02:11:24+02:00</dcterms:created>
  <dcterms:modified xsi:type="dcterms:W3CDTF">2026-10-01T02:11:24+02:00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