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dr hab.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suma: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50, w tym:
a) wykład - 30 godz. ;
b) laboratorium - 15 godz. ;
c) konsultacje - 5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50, w tym:
a) wykład - 30 godz. 
b) laboratorium - 15 godz. 
c) konsultacje - 5 godz. 
2) Praca własna studenta 50, w tym:
a) przygotowanie do ćwiczeń - 12 godz. 
b) opracowanie sprawozdań laboratoryjnych - 10 godz. 
c) studia literaturowe - 8 godz. 
d) przygotowanie do kolokwium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układów elektronicznych, elektrotechniki, metod pomiaru wielkości elektrycznych i nieelektrycznych, urządzeń elektromedycznych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Urządzenia intensywnego nadzoru. Systemy nadzoru szpitalnego ogólnego i systemy specjalistyczne. Układy i systemy do gazometrii.
Rozwiązania spektrometrów impedancyjnych i stymulatorów. 
Odbiornik cyfrowy RF, układy DDS i DDC. Tor sygnałowy stetoskopu elektronicznego, przepływomierza ultradźwiękowego z emisją ciągłą i przepływomierza ultradźwiękowego z emisją impulsową, ultrasonografu, aparatu słuchowego i/lub implantu ślimakowego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kolokwium;
Zaliczenie laboratorium na podstawie sprawdzianów 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Jensen J.A. Estimation of Blood Velocities using Ultrasound - a Signal Processing Approach, Cambridge University Press, 1996
Northrop R. Analysis and Application of Analog Electronic Circuits to Biomedical Instrumentation CRC, 2004.
Webster J. G. Medical instrumentation -application and design. wyd.4, John Wiley and Sons.Inc. New York 2010,
Hilczer, B., Małecki, J., Elektrety i piezopolimery, PWN, 1992.
Rydzewski, J., Pomiary oscyloskopowe, WNT, 1994.
Loizou P.C. Mimicking the human ear: An overview of signal processing techniques for converting sound to electrical signals in cochlear implants. IEEE Sig. Proc. Magazine 1998; 15(5):101-130
Loizou P.C. Speech processing in vocoder-centric cochlear implants, Adv Otorhinolaryngol. Basel, Karger, 2006, vol 64, 109–143
Joseph P. Roche, M.D. , Marlan R. Hansen,  On the Horizon: Cochlear implant technology, Otolaryngol Clin North Am. 2015 December ; 48(6): 1097–1116. 
Thomas L. Szabo, Diagnostic Ultrasound Imaging: Inside Out (Second Edition), 2014, Academic Press
B. G. Tomov, S. I. Nikolov i J. A. Jensen, „Scalable Intersample Interpolation Architecture for 141 High-channel-count Beamformers,” w Proceedings of IEEE International Ultrasonics Symposium, Orlando, 2011.
S. Leng, R. S. Tan, K. T. C. Chai, C. Wang, D. Ghista, i L. Zhong, „The electronic stethoscope”, BioMedical Engineering OnLine, t. 14, nr 1, art. n. 66, 2015, doi: 10.1186/s12938-015-0056-y.
L. Bassi;E. Boni;A. Dallai;F. Guidi;S. Ricci;P. Tortoli  8A-2 ULA-OP: A Novel ULtrasound Advanced Open Platform for Experimental Research 2007 IEEE Ultrasonics Symposium Proceedings
E. Boni;L. Bassi;A. Dallai;G. Giannini;F. Guidi;V. Meacci;R. Matera;A. Ramalli;S. Ricci;M. Scaringella;J. Viti;P. Tortoli, ULA-OP 256: A portable high-performance research scanner, 2015 IEEE International Ultrasonics Symposium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pStyle w:val="Heading3"/>
      </w:pPr>
      <w:bookmarkStart w:id="3" w:name="_Toc3"/>
      <w:r>
        <w:t>Profil ogólnoakademicki - umiejętności</w:t>
      </w:r>
      <w:bookmarkEnd w:id="3"/>
    </w:p>
    <w:p>
      <w:pPr>
        <w:keepNext w:val="1"/>
        <w:spacing w:after="10"/>
      </w:pPr>
      <w:r>
        <w:rPr>
          <w:b/>
          <w:bCs/>
        </w:rPr>
        <w:t xml:space="preserve">Charakterystyka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UiSE_2st_K01: </w:t>
      </w:r>
    </w:p>
    <w:p>
      <w:pPr/>
      <w:r>
        <w:rPr/>
        <w:t xml:space="preserve">Jest świadomy znaczenia wiedzy w rozwiązywaniu problemów</w:t>
      </w:r>
    </w:p>
    <w:p>
      <w:pPr>
        <w:spacing w:before="60"/>
      </w:pPr>
      <w:r>
        <w:rPr/>
        <w:t xml:space="preserve">Weryfikacja: </w:t>
      </w:r>
    </w:p>
    <w:p>
      <w:pPr>
        <w:spacing w:before="20" w:after="190"/>
      </w:pPr>
      <w:r>
        <w:rPr/>
        <w:t xml:space="preserve">Ocena pracy podczas ćwiczeń, ocena aktywności w dyskusji na wynikami laboratorium</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2025-10-30T02:05:21+01:00</dcterms:created>
  <dcterms:modified xsi:type="dcterms:W3CDTF">2025-10-30T02:05:21+01:00</dcterms:modified>
</cp:coreProperties>
</file>

<file path=docProps/custom.xml><?xml version="1.0" encoding="utf-8"?>
<Properties xmlns="http://schemas.openxmlformats.org/officeDocument/2006/custom-properties" xmlns:vt="http://schemas.openxmlformats.org/officeDocument/2006/docPropsVTypes"/>
</file>