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Automatyki i Robotyki</w:t>
      </w:r>
    </w:p>
    <w:p>
      <w:pPr>
        <w:keepNext w:val="1"/>
        <w:spacing w:after="10"/>
      </w:pPr>
      <w:r>
        <w:rPr>
          <w:b/>
          <w:bCs/>
        </w:rPr>
        <w:t xml:space="preserve">Koordynator przedmiotu: </w:t>
      </w:r>
    </w:p>
    <w:p>
      <w:pPr>
        <w:spacing w:before="20" w:after="190"/>
      </w:pPr>
      <w:r>
        <w:rPr/>
        <w:t xml:space="preserve">Dr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17,5 godz., w tym:
•	laboratorium: 15 godz.
•	konsultacje: 3 godz.
2) Praca własna studenta – 15 godz. godz., w tym:
•	przygotowanie do laboratorium: 10 godz. 
•	przygotowanie sprawozdań z ćwiczeń laboratoryjnych: 15 godz. 
Razem 43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40 godz.,
w tym:
•	laboratorium: 15 godz. 
•	przygotowanie do laboratorium: 10 godz. 
•	przygotowanie sprawozdań z ćwiczeń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poziomu lub temperatury: dobór nastaw, rozruch układu, badanie przebiegów przejściowych, ocena wskaźników jakości regulacji.
Projektowanie, wykonywanie schematów i budowa układów kombinacyjnych z elementów logicznych oraz stykowo-przekaźnikowych.
Projektowanie i budowa typowych pneumotronicznych układów sekwencyjnych o założonych cechach funkcjonalnych; poznanie sprzętu do tworzenia takich układów.
Poznanie budowy mechanizmu kinematycznego robota przemysłowego oraz jego układów: napędowego, przeniesienia ruchu, sterowania, sensorycznego i zasilającego. Uruchomienie,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bieżącej pracy studentów na zajęciach oraz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charakterystyki kierunkowe: </w:t>
      </w:r>
      <w:r>
        <w:rPr/>
        <w:t xml:space="preserve">K_U05, K_U19, K_U20, K_U22</w:t>
      </w:r>
    </w:p>
    <w:p>
      <w:pPr>
        <w:spacing w:before="20" w:after="190"/>
      </w:pPr>
      <w:r>
        <w:rPr>
          <w:b/>
          <w:bCs/>
        </w:rPr>
        <w:t xml:space="preserve">Powiązane charakterystyki obszarowe: </w:t>
      </w:r>
      <w:r>
        <w:rPr/>
        <w:t xml:space="preserve">I.P6S_UU, 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2026-10-01T01:45:08+02:00</dcterms:created>
  <dcterms:modified xsi:type="dcterms:W3CDTF">2026-10-01T01:45:08+02:00</dcterms:modified>
</cp:coreProperties>
</file>

<file path=docProps/custom.xml><?xml version="1.0" encoding="utf-8"?>
<Properties xmlns="http://schemas.openxmlformats.org/officeDocument/2006/custom-properties" xmlns:vt="http://schemas.openxmlformats.org/officeDocument/2006/docPropsVTypes"/>
</file>