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dr M.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- 15 godzin,
b. ćwiczenia - 10 godzin,
c. konsultacje - 2 godziny.
2. Praca własna studenta (czytanie wskazanej literatury, przygotowanie do zajęć oraz
    sprawdzianu końcowego) - 48 godzin.
3. Łączny nakład pracy studenta - 75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bezpośredni udział nauczyciela dotyczy 27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Zrozumienie funkcjonowania gospodarki rynkowej. Zapoznanie się z podstawowymi kategoriami i mechanizmami ekonomicznymi. Zdobycie umiejętności w zakresie interpretowania i oceny zjawisk ekonomiczno-społecznych.</w:t>
      </w:r>
    </w:p>
    <w:p>
      <w:pPr>
        <w:keepNext w:val="1"/>
        <w:spacing w:after="10"/>
      </w:pPr>
      <w:r>
        <w:rPr>
          <w:b/>
          <w:bCs/>
        </w:rPr>
        <w:t xml:space="preserve">Treści kształcenia: </w:t>
      </w:r>
    </w:p>
    <w:p>
      <w:pPr>
        <w:spacing w:before="20" w:after="190"/>
      </w:pPr>
      <w:r>
        <w:rPr/>
        <w:t xml:space="preserve">Przedmiot i zakres ekonomii. Zasoby a potrzeby ludzkie. Podstawowe kategorie ekonomiczne: popyt, podaż, cena równowagi, elastyczność popytu i podaży. Zjawisko konkurencji, struktury rynkowe funkcjonujące w gospodarce. Zysk, przychód, koszty w przedsiębiorstwie. Rynek czynników produkcji. Rynek finansowy. Zjawisko bezrobocia i inflacji. Rola wzrostu i rozwoju gospodarczego. Ekonomiczna rola państwa w gospodarce. Integracja gospodarcza.</w:t>
      </w:r>
    </w:p>
    <w:p>
      <w:pPr>
        <w:keepNext w:val="1"/>
        <w:spacing w:after="10"/>
      </w:pPr>
      <w:r>
        <w:rPr>
          <w:b/>
          <w:bCs/>
        </w:rPr>
        <w:t xml:space="preserve">Metody oceny: </w:t>
      </w:r>
    </w:p>
    <w:p>
      <w:pPr>
        <w:spacing w:before="20" w:after="190"/>
      </w:pPr>
      <w:r>
        <w:rPr/>
        <w:t xml:space="preserve">Sprawdzian pisemny.
Praca na ćwiczeniach – udział w dyskusji, rozwiązywanie zadań.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 Milewski, Podstawy ekonomii, PWN, Warszawa 2009
Marciniak S. (red.) Makro- i mikroekonomia. Podstawowe problemy współczesności, Wydawnictwo Naukowe PWN, Warszawa 2013
Sławiński A. (red.) Polityka pieniężna, Wydawnictwo C.H. Beck, Warszawa 2011
Snowdon B., Vane H. Wynarczyk P. Współczesne nurty makroekonomii, PWN, Warszawa 1998
Winiarski B. (red.) Polityka gospodarcza, Wydawnictwo Naukowe PWN, Warszawa 2012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regulacje prawne odnoszące się do funkcjonowania ekonomii rynkowej i ma wiedzę na temat konsekwencji ich wprowadzania.</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W_02: </w:t>
      </w:r>
    </w:p>
    <w:p>
      <w:pPr/>
      <w:r>
        <w:rPr/>
        <w:t xml:space="preserve">Student ma rozszerzoną wiedzę na temat pojęć i definicji stosowanych w ekonomii rynkowej.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W_03: </w:t>
      </w:r>
    </w:p>
    <w:p>
      <w:pPr/>
      <w:r>
        <w:rPr/>
        <w:t xml:space="preserve">Student zna podstawowe teorie i zależności z obszaru współczesnej ekonomii rynkowej.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obliczać i poprawnie interpretować wskaźniki z zakresu ekonomii rynkowej, takie jak: elastyczność cenowa i elastyczność dochodowa popytu, inflacja, bezrobocie, deficyt budżetowy.</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II.S.P7S_UW.2.o, II.S.P7S_UW.3.o, II.H.P7S_UW.1, II.H.P7S_UW.2.o, I.P7S_UW, II.S.P7S_UW.1</w:t>
      </w:r>
    </w:p>
    <w:p>
      <w:pPr>
        <w:keepNext w:val="1"/>
        <w:spacing w:after="10"/>
      </w:pPr>
      <w:r>
        <w:rPr>
          <w:b/>
          <w:bCs/>
        </w:rPr>
        <w:t xml:space="preserve">Charakterystyka U_02: </w:t>
      </w:r>
    </w:p>
    <w:p>
      <w:pPr/>
      <w:r>
        <w:rPr/>
        <w:t xml:space="preserve">Student poprawnie interpretuje mierniki statystyczne dotyczące stanu gospodarki.</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nawyk sięgania do danych o gospodarce (rozumiejąc ich znaczenie) a także śledzenia decyzji naczelnych organów władzy i administracji państwa oraz banku centralnego wpływających na stan gospodarki</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ma świadomość znaczenia aktywnego kształtowania rzeczywistości ekonomicznej oraz ma nawyk aktualizowania swojej wiedzy w zakresie ekonomii społecznej.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2026-10-21T14:52:33+02:00</dcterms:created>
  <dcterms:modified xsi:type="dcterms:W3CDTF">2026-10-21T14:52:33+02:00</dcterms:modified>
</cp:coreProperties>
</file>

<file path=docProps/custom.xml><?xml version="1.0" encoding="utf-8"?>
<Properties xmlns="http://schemas.openxmlformats.org/officeDocument/2006/custom-properties" xmlns:vt="http://schemas.openxmlformats.org/officeDocument/2006/docPropsVTypes"/>
</file>