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Ks. dr Jacek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A11_IZE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10h praca własna: razem 25h.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w:t>
      </w:r>
    </w:p>
    <w:p>
      <w:pPr>
        <w:keepNext w:val="1"/>
        <w:spacing w:after="10"/>
      </w:pPr>
      <w:r>
        <w:rPr>
          <w:b/>
          <w:bCs/>
        </w:rPr>
        <w:t xml:space="preserve">Metody oceny: </w:t>
      </w:r>
    </w:p>
    <w:p>
      <w:pPr>
        <w:spacing w:before="20" w:after="190"/>
      </w:pPr>
      <w:r>
        <w:rPr/>
        <w:t xml:space="preserve">Wykład: 
student podchodzący do egzaminu wypełnia test wielokrotnego wyboru składający się z 25 pytań. Przewidywany termin egzaminu – początek sesji. Czas trwania egzami-nu 45 min. 
Test wielokrotnego wyboru oznacza iż jedna lub kilka odpowiedzi jest prawidłowych. Za nie-prawidłową odpowiedź na pytanie student otrzymuje 0 punktów, za prawidłową odpowiedź – 1 punkt. Nie ma punktów cząstkowych oraz punktów ujemnych. W każdym pytaniu przy-najmniej 1 odpowiedź jest prawidłowa.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wyjaśnia jaką rolę spełnia prawo Unii Europejskiej oraz jakie jest miejsce tego prawa w porządku ustrojowym Rzeczypospolitej Polskiej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W_02: </w:t>
      </w:r>
    </w:p>
    <w:p>
      <w:pPr/>
      <w:r>
        <w:rPr/>
        <w:t xml:space="preserve">identyfikuje główne instytucje Unii Europejskiej oraz potrafi wskazać ich rolę w procesie decyzyjnym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W_03: </w:t>
      </w:r>
    </w:p>
    <w:p>
      <w:pPr/>
      <w:r>
        <w:rPr/>
        <w:t xml:space="preserve">wskazuje różnice pomiędzy prawem Unii Europejskiej a prawem międzynarodowym</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poddaje starannej analizie działania instytucji unijnych oraz potrafi wskazać rolę parlamentów narodowych państw członkowskich na proces decyzyjny w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ocenia stan faktyczny w świetle odpowiednich regulacji prawa Unii Europejskiej oraz wybranego orzecznictwa Trybunału Sprawiedliwości UE</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umiejętność dokonywania subsumpcji przez studenta; wyprowadza samodzielne wnioski na podstawie analizy traktatów założycielskich, prawa pochodnego oraz judykatury i doktryny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podejmuje się analizy uwarunkowań wynikających z członkostwa Polski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śledzi procesy decyzyjne zachodzące w Unii Europejskiej.</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2026-05-06T16:37:15+02:00</dcterms:created>
  <dcterms:modified xsi:type="dcterms:W3CDTF">2026-05-06T16:37:15+02:00</dcterms:modified>
</cp:coreProperties>
</file>

<file path=docProps/custom.xml><?xml version="1.0" encoding="utf-8"?>
<Properties xmlns="http://schemas.openxmlformats.org/officeDocument/2006/custom-properties" xmlns:vt="http://schemas.openxmlformats.org/officeDocument/2006/docPropsVTypes"/>
</file>