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rafineryjne i petrochemiczne - projekt </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h, przygotowanie opracowania - 15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opracowania - 15 h, Razem - 25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P8: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P9: prezentacje przygotowanych projektów; P10: zajęcia poprawkowe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realizowane z wykorzystaniem nowoczesnych technik teleinformatycznych.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C2A_W08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W13: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U11: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charakterystyki kierunkowe: </w:t>
      </w:r>
      <w:r>
        <w:rPr/>
        <w:t xml:space="preserve">C2A_U11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U20: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C2A_U20</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dobrać właściwą technologię w celu uzyskania produktu rafineryjnego lub petrochemicznego o zadanych właściwościach.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C2A_K05</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C2A_K06</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2026-10-21T13:23:17+02:00</dcterms:created>
  <dcterms:modified xsi:type="dcterms:W3CDTF">2026-10-21T13:23:17+02:00</dcterms:modified>
</cp:coreProperties>
</file>

<file path=docProps/custom.xml><?xml version="1.0" encoding="utf-8"?>
<Properties xmlns="http://schemas.openxmlformats.org/officeDocument/2006/custom-properties" xmlns:vt="http://schemas.openxmlformats.org/officeDocument/2006/docPropsVTypes"/>
</file>