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Metrologia chemiczna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Zofia Kowalewska, profesor Uczelni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CS2A_14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- 30, przygotowanie do egzaminu - 20, razem - 50h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- 30 h; Razem - 30 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zdobycie przez studenta wiedzy, umiejętności i kompetencji społecznych w zakresie metrologii chemicznej, sposobów wyrażania wyników badań i zapewniania ich jakości. Wiedza z zakresu metrologii chemicznej jest niezbędna zarówno w procesie projektowania, jak i sterowania procesem technologicznym, gdy na podstawie wyników pomiarów podejmowane są istotne decyzje o znaczeniu technicznym, ekonomicznym i środowiskowym.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Wprowadzenie do metrologii chemicznej. Miarodajność wyników badań. Układ jednostek miar. Akredytacja laboratoriów. Norma PN-EN ISO 17025 "Ogólne wymagania dotyczące kompetencji laboratoriów badawczych i wzorcujących" - aspekty systemowe. Norma PN-EN ISO 17025 "Ogólne wymagania dotyczące kompetencji laboratoriów badawczych i wzorcujących" - aspekty techniczne. Zapewnienie spójności pomiarowej: wzorce i certyfikowane materiały odniesienia. Badania biegłości i porównania między-laboratoryjne. Parametry walidacyjne. Walidacja procedury pomiarowej. Elementy statystyki. Niepewność pomiarów, podstawowe definicje, różne sposoby szacowania niepewności pomiarów, przykłady szacowania niepewności pomiarów. Kontrola jakości badań. Karty kontrolne. Kierunki zmian w metrologii chemicznej.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zgodnie z regulaminem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PN-EN ISO 17025 - Ogólne wymagania dotyczące kompetencji laboratoriów badawczych i wzorcujących.
2. E. Bulska, Metrologia chemiczna. Sztuka prowadzenia pomiarów, Wyd. II, Wyd. Malamut, Warszawa, 2012.
3. W. Hyk, A. Stojek, Analiza statystyczna w laboratorium analitycznym, Wyd. III, Wyd. Wydz. Chemii Uniwersytetu Warszawskiego, Warszawa, 2010.
4. Praca zbiorowa red. P. Konieczka, J. Namieśnik, Ocena i kontrola jakości wyników pomiarów analitycznych, WNT, Warszawa, 2007.
5. M. Dobecki, Zapewnienie jakości analiz chemicznych, Oficyna Wydawnicza IMP, Łodź, 1998.
6. Dokumenty Polskiego Centrum Akredytacji, w tym: DA-01 „Opis sytemu akredytacji”, DA-05 „Polityka dotycząca uczestnictwa w badaniach biegłości”, DA-06 „Polityka dotycząca zapewnienia spójności pomiarowej”, DAB-07 „Akredytacja laboratoriów. Wymagania szczegółowe”.
7. Wybrane dokumenty organizacji międzynarodowych, w tym: EA-4/14 „Wyrażanie niepewności w pomiarach ilościowych”, ILAC-G8:03/2009 „Wytyczne dotyczące przedstawiania zgodności ze specyfikacją”.
8. „Międzynarodowy słownik podstawowych i ogólnych terminów w metrologii” JGCM, Wyd. 3, 2012.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8 Programu NERW.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Ma rozszerzoną i pogłębioną wiedzę z zakresu metrologii chemicznej przydatną do formułowania i rozwiązywania złożonych zadań z zakresu technologii chemicznej.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(W1 - W10)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I.P7S_WG.o</w:t>
      </w:r>
    </w:p>
    <w:p>
      <w:pPr>
        <w:keepNext w:val="1"/>
        <w:spacing w:after="10"/>
      </w:pPr>
      <w:r>
        <w:rPr>
          <w:b/>
          <w:bCs/>
        </w:rPr>
        <w:t xml:space="preserve">Charakterystyka W17: </w:t>
      </w:r>
    </w:p>
    <w:p>
      <w:pPr/>
      <w:r>
        <w:rPr/>
        <w:t xml:space="preserve">Ma podstawową wiedzę dotyczącą zarządzania, w tym zarządzania jakością wyników badań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(W1 - W10)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C2A_W17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pozyskiwać informacje z literatury, baz danych oraz innych właściwie dobranych źródeł, także w języku obcym w zakresie metrologii chemicznej; potrafi integrować uzyskane informacje, dokonywać ich interpretacji i krytycznej oceny, a także wyciągać wnioski oraz formułować i uzasadniać opinie.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(W1 - W10)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</w:t>
      </w:r>
    </w:p>
    <w:p>
      <w:pPr>
        <w:keepNext w:val="1"/>
        <w:spacing w:after="10"/>
      </w:pPr>
      <w:r>
        <w:rPr>
          <w:b/>
          <w:bCs/>
        </w:rPr>
        <w:t xml:space="preserve">Charakterystyka U09: </w:t>
      </w:r>
    </w:p>
    <w:p>
      <w:pPr/>
      <w:r>
        <w:rPr/>
        <w:t xml:space="preserve">Potrafi wykorzystać do formułowania i rozwiązywania zadań inżynierskich i prostych problemów badawczych metody i narzędzia metrologii chemicznej.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(W1 - W10)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III.P7S_UW.o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Ma świadomość ważności i rozumie pozatechniczne aspekty i skutki działalności inżynierskiej  w zakresie metrologii chemicznej, w tym wpływ na środowisko i związanej z tym odpowiedzialności za podejmowane decyzje.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(W1-W10)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2025-06-15T23:32:03+02:00</dcterms:created>
  <dcterms:modified xsi:type="dcterms:W3CDTF">2025-06-15T23:32:03+02:00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