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instalacji budowlanych - projekt (BIN1A_19_P/01)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5h;
Wykonanie projektu 10h;
Razem 25h = 1,0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projektu 10h;
Razem 25h = 1,0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sposobami modernizacji instalacji sanitarnych w zakresie poprawy ich sprawności i skuteczności.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Projekt modernizacji wybranej instalacji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modernizacji instalacji   oraz jego obronie przez studenta w formie odpowiedzi ustnej. 
Obecność na ćwiczeniach projektowych jest obowiązkowa. W uzasadnionych sytuacjach dopuszcza się nieobecność na maksymalnie dwóch zajęciach - wymagane usprawiedliwienie nieobecności.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działania, projektowania i wykonawstwa różnych instalacji , funkcjonujących w obiektach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różnych instalacji budowlanych rozumie potrzebę "projektowania ze względu na trwałość" , co w konsekwencji prowadzi do dłuższej eksploatacji, rzadszych remontów oraz zmniejszonej 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  : </w:t>
      </w:r>
    </w:p>
    <w:p>
      <w:pPr/>
      <w:r>
        <w:rPr/>
        <w:t xml:space="preserve">Potrafi myśleć i działać w sposób przedsiębiorczy. Potrafi ocenić zasadność, racjonalność i efektywność ekonomiczną w działalności inwestycyjno-budowlanej.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2026-10-03T20:34:38+02:00</dcterms:created>
  <dcterms:modified xsi:type="dcterms:W3CDTF">2026-10-03T20:34:38+02:00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