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Hydraulika stosowana (BIS2A_02/01)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Krzysztof J. Wołosz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BIS2A_02/01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 
Zapoznanie się ze wskazaną literaturą 15h;
Przygotowanie do kolokwium 5h;
Razem 25h = 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15h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zrozumienie i umiejętne zastosowanie obliczeń hydraulicznych do projektowania budowli hydrotechnicznych oraz instalacji sanitarnych.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Parcie i odziaływanie na budowle hydrologiczne; W2 - Opory przepływu w praktyce; W3 - Właściwości cieczy; W4 - Urządzenia do transportu cieczy; W5 - Rurociągi; W6 - Armatura; W7 - Sprężarki, dmuchawy, wentylatory;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części wykładowej odbędzie się na podstawie kolokwium przeprowadzonego na przedostatnich zajęciach w semestrze. Przewiduje się termin poprawkowy dla tych zaliczeń na ostatnich zajęciach w semestrze. Warunkiem zaliczenia części wykładowej jest uzyskanie pozytywnej oceny.  
Przy zaliczeniu sprawdzianów z części wykładowej stosowana będzie następująca skala ocen przyporządkowana określonej procentowo ilości wiedzy:  5,0 – 91÷100%, 4,5 – 81÷90%, 4,0 – 71÷80%, 3,5 – 61÷70%, 3,0 – 51÷60%, 2,0 – 0÷50%.
Studenci którzy nie zaliczyli przedmiotu i uzyskali rejestrację na kolejny semestr, powinni zgłosić się do prowadzącego zajęcia na początku następnego semestru celem ustalenia terminu poprawy.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Książyński K.W. "Hydraulika" Kraków 2008; 
2. Szuster A., Utrysko B. "Hydraulika i podstawy hydromechaniki" WPW, Warszawa 1992.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W01_01: </w:t>
      </w:r>
    </w:p>
    <w:p>
      <w:pPr/>
      <w:r>
        <w:rPr/>
        <w:t xml:space="preserve">Ma rozszerzoną i pogłębioną wiedzę z mechaniki płynów, w szczególności z zastosowań praktycznych równań stosowanych w budownictwie, w szczególności w zadanieniach obciążeń statycznych budoli hydrologicznych.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(W1-W7)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W12_01: </w:t>
      </w:r>
    </w:p>
    <w:p>
      <w:pPr/>
      <w:r>
        <w:rPr/>
        <w:t xml:space="preserve">Zna typowe technologie stosowane w hydraulice w zakresie konstrukcji i wykonawstwa instalacji hydraulicznych i sanitarnych.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(W1-W7)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III.P7S_WG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K07_02: </w:t>
      </w:r>
    </w:p>
    <w:p>
      <w:pPr/>
      <w:r>
        <w:rPr/>
        <w:t xml:space="preserve">Rozumie potrzebę uświadamiania społeczeństwa w zakresie skutków zniszczenia budowli hydrotechnicznych służących zapobierzeniu powodziom.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(W1-W7)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B2A_K07_02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2026-09-11T12:16:27+02:00</dcterms:created>
  <dcterms:modified xsi:type="dcterms:W3CDTF">2026-09-11T12:16:27+02:00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