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(WN1A_08/01)</w:t>
      </w:r>
    </w:p>
    <w:p>
      <w:pPr>
        <w:keepNext w:val="1"/>
        <w:spacing w:after="10"/>
      </w:pPr>
      <w:r>
        <w:rPr>
          <w:b/>
          <w:bCs/>
        </w:rPr>
        <w:t xml:space="preserve">Koordynator przedmiotu: </w:t>
      </w:r>
    </w:p>
    <w:p>
      <w:pPr>
        <w:spacing w:before="20" w:after="190"/>
      </w:pPr>
      <w:r>
        <w:rPr/>
        <w:t xml:space="preserve">dr inż/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WN1A_08/01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charakterystyka i zasady higieny pracy umysłowej; W9 - Wybrane czynniki ergonomiczne w kształtowaniu środowiska pracy; W10 - Uciążliwe i szkodliwe skutki obsługi komputera dla organizmu człowieka, badania ergonomiczne.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(W1-W10)</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2026-10-02T16:07:53+02:00</dcterms:created>
  <dcterms:modified xsi:type="dcterms:W3CDTF">2026-10-02T16:07:53+02:00</dcterms:modified>
</cp:coreProperties>
</file>

<file path=docProps/custom.xml><?xml version="1.0" encoding="utf-8"?>
<Properties xmlns="http://schemas.openxmlformats.org/officeDocument/2006/custom-properties" xmlns:vt="http://schemas.openxmlformats.org/officeDocument/2006/docPropsVTypes"/>
</file>