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w zakresie maturalnym.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rachunku różniczkowego i całkowego w elementarnych zagadnieniach technicznych.
</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w:t>
      </w:r>
    </w:p>
    <w:p>
      <w:pPr>
        <w:keepNext w:val="1"/>
        <w:spacing w:after="10"/>
      </w:pPr>
      <w:r>
        <w:rPr>
          <w:b/>
          <w:bCs/>
        </w:rPr>
        <w:t xml:space="preserve">Metody oceny: </w:t>
      </w:r>
    </w:p>
    <w:p>
      <w:pPr>
        <w:spacing w:before="20" w:after="190"/>
      </w:pPr>
      <w:r>
        <w:rPr/>
        <w:t xml:space="preserve">Studenta obowiązują dwa kolokwia w semestrze, za które może uzyskać 40 punktów. 
2.Terminy kolokwiów oraz zakresy zagadnień obowiązujące na tych kolokwiach zostaną podane na pierwszym wykładzie w semestrze. 
3.Dopuszcza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7.Studenci wyróżniający się aktywnością oraz systematyczną pracą, na koniec semestru uzyskują dodatkowe punkty przyznawane przez prowadzącego ćwiczenia. 
8. Z egzaminu student może uzyskać w sumie 40 punktów. 
9.Egzamin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Umie różniczkować i zna zastosowania pochodnej funkcji jednej zmiennej rzeczywistej. Potrafi obliczać całkę oznaczoną. Umie zastosować całkę oznaczoną do obliczania wybranych wielkości geometrycznych. 								</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							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2026-02-27T19:42:53+01:00</dcterms:created>
  <dcterms:modified xsi:type="dcterms:W3CDTF">2026-02-27T19:42:53+01:00</dcterms:modified>
</cp:coreProperties>
</file>

<file path=docProps/custom.xml><?xml version="1.0" encoding="utf-8"?>
<Properties xmlns="http://schemas.openxmlformats.org/officeDocument/2006/custom-properties" xmlns:vt="http://schemas.openxmlformats.org/officeDocument/2006/docPropsVTypes"/>
</file>