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Galyna Kotsay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BS1A_05_L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30h. Przygotowanie się do zajęć 6h. Zapoznanie się ze wskazaną literaturą 6h. Napisanie sprawozdania 8h.Razem 50h =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 Przygotowanie się do zajęć 12h; Napisanie sprawozdania 8h; Razem 50h = 2 ECTS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co najmniej na poziomie szkoły gimnazjalnej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chemicznych i fizyko-chemicznych właściwości najważniejszych grup materiałów budowlanych. Zapoznanie z metodami ograniczania i utylizacji odpadów w budownictwie. Umiejętność do samodzielnego rozwiązywania problemów materiałowych i technologicznych.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Założenia, cele i program przedmiotu, obowiązująca literatura, forma i warunki zaliczenia przedmiotu. Zasady bezpiecznej pracy w laboratorium chemicznym. L2 - Obowiązujące nazewnictwo związków chemicznych nieorganicznych. Reakcje chemiczne. L3 - Podstawy obliczeń chemicznych. Przeliczanie składu chemicznego na skład mineralogiczny cementu portlandzkiego. L4, L5 - Analiza jakościowa związków chemicznych. L6 - Woda jako rozpuszczalnik, dysocjacja i hydroliza związków chemicznych. L7 - Kinetyka reakcji chemicznych; L8 - Analiza wody do celów budowlanych. L9 - Spoiwa wapienne – określanie zawartości nierozłożonego węglanu wapnia w wapnie palonym, określanie czasu gaszenia wapna palonego. L10 - Spoiwa gipsowe – wpływ niektórych substancji na procesy wiązania i twardnienia. L11 – 12 Badanie aktywności pucolanowej dodatków mineralnych. L13 - Korozja tworzyw cementowych – korozja kwasowa i węglanowa. L14 -Modyfikacja betonów. L15 - Zajęcie wyrównawcze. Zaliczenie.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studenta na zajęciach laboratoryjnych jest obowiązkowa i może być sprawdzana.
2.	Efekty uczenia się będą weryfikowane za wykonanie oraz zaliczenie sprawozdań z wykonanych ćwiczeń laboratoryjnych.
3.	Warunkiem zaliczenia ćwiczeń laboratoryjnych jest uzyskanie od 32 do 65 punktów. Przeliczenia punktów na ocenę z przedmiotu: (0 ÷ 32p) ocena 2; (33 ÷ 42p) - 3; (43 ÷ 49p) -3,5 (50 ÷ 56p) - 4; (57 ÷ 62p) - 4,5; (63 ÷ 65p) -5.
4.	Ocena z ćwiczeń laboratoryjnych jest przekazywana do wiadomości studentów niezwłocznie po sprawdzeniu prac  w trakcie zajęć. 
5.	Na zajęciach wyrównawczych studenci mają możliwość wykonania nieodrobionych ćwiczeń. Oceny za ćwiczenia studenci mogą poprawiać w ciągu semestru oraz w sesji zimowej.  
6.	Z powodu niezadowalających wyników, student powtarza całość zajęć laboratoryjnych.
7.	Do weryfikacji osiągnięcia efektów uczenia się z zajęć laboratoryjnych każdy student piszący powinien mieć długopis, czysty arkusz papieru, kalkulator . 
8.	Jeżeli podczas weryfikacji osiągnięcia efektów uczenia się, zostanie stwierdzona niesamodzielność pracy studenta,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pod czas ćwiczeń laboratoryjnych lub w terminach konsultacji do końca danego roku akademickiego.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Czarnecki L., Łukowski P., Garbacz A., Chmielewska B. „Ćwiczenia laboratoryjne z chemii budowlanej” Oficyna wydawnicza PW, Warszawa 1999. 
2.	Bobrowski A., Gawlicki M., Jagosz A., Nocuń-Wczelik W. „Cement. Metody Badań. Wy-brane kierunki stosowania” Wydawnictwo AGH , Kraków 2010.
3.	Szymura T. „ Chemia w inżynierii materiałów budowlanych”Lublin 2012.
4.	Kurdowski W.  „ Chemia cementu i betonu” Wydawnictwa Polski cement i Naukowe PWN 2010.
5.	Cement-Wapno-Beton – Czasopismo poświęcone zagadnieniom przemysłu i fizykochemii materiałów wiążących i betonu. 
6.	Materiały Budowlane – Czasopismo poświęcone między innymi nowoczesnym wyrobom, i technologiom budowlanym oraz zasadom ich prawidłowego i bezpiecznego stosowania.
7.	Ochrona przed korozją – Czasopismo poświęcone zagadnieniom korozji materiałów, w tym materiałów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http://portaliusz.pw.plock.pl/course/index.php?categoryid=7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W01_03: </w:t>
      </w:r>
    </w:p>
    <w:p>
      <w:pPr/>
      <w:r>
        <w:rPr/>
        <w:t xml:space="preserve">Ma podstawową wiedzę z chemii, w tym z chemii budowlanej, wie jak formułować i rozwiązywać typowe proste zadania związane z chemią budowlaną.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Ma umiejętności niezbędne do pracy z substancjami chemicznymi spotykanymi w budownictwie oraz zna zasady bezpieczeństwa związane z tą pracą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 metod badawczych do rozwiązywania problemów chemicznych w budownictwie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do zajęć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Ma świadomość zmian dokonujących się w chemii budowlanej i potrzebę ich śledzenia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K02_02: </w:t>
      </w:r>
    </w:p>
    <w:p>
      <w:pPr/>
      <w:r>
        <w:rPr/>
        <w:t xml:space="preserve">Ma świadomość konieczności ochrony środowiska w różny sposób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w czasie zajęć laboratoryjnych (L1-L15)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2026-07-28T20:45:31+02:00</dcterms:created>
  <dcterms:modified xsi:type="dcterms:W3CDTF">2026-07-28T20:45:31+02:00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