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tryskaczowe</w:t>
      </w:r>
    </w:p>
    <w:p>
      <w:pPr>
        <w:keepNext w:val="1"/>
        <w:spacing w:after="10"/>
      </w:pPr>
      <w:r>
        <w:rPr>
          <w:b/>
          <w:bCs/>
        </w:rPr>
        <w:t xml:space="preserve">Koordynator przedmiotu: </w:t>
      </w:r>
    </w:p>
    <w:p>
      <w:pPr>
        <w:spacing w:before="20" w:after="190"/>
      </w:pPr>
      <w:r>
        <w:rPr/>
        <w:t xml:space="preserve">dr hab. inż. Agnieszka Malesińska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1110-ISIKU-MZP-4306</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- 16 godz., ćwiczenia projektowe - 8 godz., przygotowanie do zajęć projektowych - 10 godz., zapoznanie się z literaturą - 10 godz., przygotowanie projektu i obrona - 15 godz., przygotowanie do zaliczenia i obecność na nim - 16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Instalacje wodociągowe</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budowa i zasada działania instalacji tryskaczowych, wymagania formalno-prawne z zakresu instalacji tryskaczowych (Ustawy, rozporządzenia, PN-EN 12 845, VdS, NFPA13, FM Global), omówienie podstawowych parametrów projektowych instalacji tryskaczowych według różnych przepisów, rodzaje tryskaczy, parametry pracy tryskaczy (np. RTI, rodzaj zamka, itp.), omówienie procesu projektowania instalacji tryskaczowych( np. powierzchnia działania, powierzchnia obliczeniowa, klasa zagrożenia pożarowego, itd.), zawieszenie instalacji tryskaczowych według różnych przepisów, zawory kontrolno-alarmowe, zaopatrzenie w wodę, pompownie przeciwpożarowe (podstawy, różnice w podejściu np. według VdS a NFPA13). Przykład obliczeniowy.</w:t>
      </w:r>
    </w:p>
    <w:p>
      <w:pPr>
        <w:keepNext w:val="1"/>
        <w:spacing w:after="10"/>
      </w:pPr>
      <w:r>
        <w:rPr>
          <w:b/>
          <w:bCs/>
        </w:rPr>
        <w:t xml:space="preserve">Metody oceny: </w:t>
      </w:r>
    </w:p>
    <w:p>
      <w:pPr>
        <w:spacing w:before="20" w:after="190"/>
      </w:pPr>
      <w:r>
        <w:rPr/>
        <w:t xml:space="preserve">Zaliczenie projektu: wykonanie i obrona projektu (40%), część wykładowa przedmiotu zaliczana jest pisemnie (60%)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Malesińska: Projektowanie instalacji tryskaczowej, Wydawnictwo Naukowe PWN, Warszawa 2018 r., ustawy,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IS_W10, IS_W08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tryskaczowym jak również z możliwości wyboru przepisów do szczegółowego projektowania instalacji tryskaczowych. Posiada wiedzę z zakresu projektowania prostych w budowie geometrycznej instalacji tryskaczowych oraz zna podstawowe parametry projektowe determinujące wielkość instalacji tryskaczowej.</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IS_W13, IS_W12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tryskaczowej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IS_U05, IS_U07</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formułowanych przez siebie wniosków w kontekście podejmowania decyzji o wyborze klasy zagrożenia pożarowego oraz staranności wykonania projektu instalacji tryskaczowej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2026-08-19T05:33:27+02:00</dcterms:created>
  <dcterms:modified xsi:type="dcterms:W3CDTF">2026-08-19T05:33:27+02:00</dcterms:modified>
</cp:coreProperties>
</file>

<file path=docProps/custom.xml><?xml version="1.0" encoding="utf-8"?>
<Properties xmlns="http://schemas.openxmlformats.org/officeDocument/2006/custom-properties" xmlns:vt="http://schemas.openxmlformats.org/officeDocument/2006/docPropsVTypes"/>
</file>