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8h
Udział w ćwiczeniach 16h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  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ioraz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[5W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Ćwiczenia (tematy)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K_W13: </w:t>
      </w:r>
    </w:p>
    <w:p>
      <w:pPr/>
      <w:r>
        <w:rPr/>
        <w:t xml:space="preserve">Ma wiedze pozwalającą na objaśnienie istoty strategii funkcjonowania przedsiębiorstw zarówno na rynku lokalnym, regionalnym jak również w kontekście otoczenia międzynarodowego, dzięki wykorzystaniu podstawowego zakresu wskaźników i mierników finansowych dotyczących zarówno przedsiębiorstw jak i jego otoczenia. </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K_W14: </w:t>
      </w:r>
    </w:p>
    <w:p>
      <w:pPr/>
      <w:r>
        <w:rPr/>
        <w:t xml:space="preserve">Zna podstawowe pojęcia, kategorie, związki funkcyjne i relacje w zakresie analizy finansowej przedsiębiorstw, w tym analizę bilansu, rachunku zysków i strat, analizę wskaźnikową, analizę struktury kapitałowo – majątkowej.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wiedzę o sposobach finansowania działalności gospodarczej (kredyt, leasing, verture capital i inne), koszcie kapitału oraz czynnikach wpływających na ocenę efektywności procesów gospodarczych oraz przedsiębiorstw (np. EVA)</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K_U03: </w:t>
      </w:r>
    </w:p>
    <w:p>
      <w:pPr/>
      <w:r>
        <w:rPr/>
        <w:t xml:space="preserve">Analizuje i potrafi interpretować zmiany w kondycji ekonomiczno – finansowej przedsiębiorstw oraz sektorów gospodarki</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K_U09: </w:t>
      </w:r>
    </w:p>
    <w:p>
      <w:pPr/>
      <w:r>
        <w:rPr/>
        <w:t xml:space="preserve">Potrafi  przygotować i zaprezentować materiał analityczny dotyczący oceny sytuacji finansowej przedsiębiorstwa,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przypadku dyskusji dotyczących rynku globalnego i przedsiębiorstwo ponadnarodowych</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identyfikować i wskazywać możliwe rozwiązania podstawowych problemów w dziedzinie zarządzania finansami oraz zdolności kredytowej (element oceny kondycji ekonomiczno – finansowej).</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ocenić sytuację ekonomiczno-finansową podmiotów gospodarczych, zarówno w kontekście struktury finansowania, kosztów kapitału, struktury kapitałowo - majątkowej jak również z punktu widzenia efektywności działania firmy lub projektu inwestycyjnego.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2026-10-01T03:32:45+02:00</dcterms:created>
  <dcterms:modified xsi:type="dcterms:W3CDTF">2026-10-01T03:32:45+02:00</dcterms:modified>
</cp:coreProperties>
</file>

<file path=docProps/custom.xml><?xml version="1.0" encoding="utf-8"?>
<Properties xmlns="http://schemas.openxmlformats.org/officeDocument/2006/custom-properties" xmlns:vt="http://schemas.openxmlformats.org/officeDocument/2006/docPropsVTypes"/>
</file>