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1160-TR000-IZP-508</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18 godz., praca na ćwiczeniach projektowych 9 godz., studiowanie literatury przedmiotu 33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18 godz., praca na ćwiczeniach projektowych 9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(47 godz., w tym: praca na ćwiczeniach projektowych 9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W02: </w:t>
      </w:r>
    </w:p>
    <w:p>
      <w:pPr/>
      <w:r>
        <w:rPr/>
        <w:t xml:space="preserve">Absolwent zna i rozumie istotę procesu planowania i podejmowania decyzji, także w odniesieniu do sfery transportu	</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Tr1A_U05, Tr1A_U03, Tr1A_U02</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2026-09-30T22:19:09+02:00</dcterms:created>
  <dcterms:modified xsi:type="dcterms:W3CDTF">2026-09-30T22:19:09+02:00</dcterms:modified>
</cp:coreProperties>
</file>

<file path=docProps/custom.xml><?xml version="1.0" encoding="utf-8"?>
<Properties xmlns="http://schemas.openxmlformats.org/officeDocument/2006/custom-properties" xmlns:vt="http://schemas.openxmlformats.org/officeDocument/2006/docPropsVTypes"/>
</file>