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zapoznanie się ze wskazaną literaturą 10 godz., konsultacje 2 godz., przygotowanie się do egzaminu 16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oświetleniowe.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Istnieje możliwość zaliczenia przedmiotu w formie opracowanego referatu i wygłoszonej prezentacji, wskazanego do opracowania zagadnienia związanego z tematyką wykładu. Student musi zarezerwować tematykę referatu maksymalne w 4 tygodniu wykładów i dostarczyć referat oraz prezentację minimum 14 dni przed jej wygłoszeniem. Warunkiem zaliczenia przedmiotu jest uzyskanie oceny pozytywnej z prezentacji i referatu.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II, III”.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Tr1A_U20, Tr1A_U24, Tr1A_U25</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charakterystyki kierunkowe: </w:t>
      </w:r>
      <w:r>
        <w:rPr/>
        <w:t xml:space="preserve">Tr1A_K01, 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2026-10-21T13:54:57+02:00</dcterms:created>
  <dcterms:modified xsi:type="dcterms:W3CDTF">2026-10-21T13:54:57+02:00</dcterms:modified>
</cp:coreProperties>
</file>

<file path=docProps/custom.xml><?xml version="1.0" encoding="utf-8"?>
<Properties xmlns="http://schemas.openxmlformats.org/officeDocument/2006/custom-properties" xmlns:vt="http://schemas.openxmlformats.org/officeDocument/2006/docPropsVTypes"/>
</file>