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1160-TRSRL-ISP-410</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konsultacje 2 godz., udział 
w egzaminie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istotnej wiedzy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3.	Polskie prawo lotnicze: wybrane rozporządzenia i akty wykonawcze.
4.	Prawo europejskie: struktura, zakres obowiązywania, przegląd uregulowań dot. lotnictwa.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7.	Podstawy prawne zapewniania bezpieczeństwa ruchu lotniczego – separacje: podział separacji, separacja radarowa, separacja pionowa, geograficzna, boczna, podłużna, separacje ze względu na turbulencje w śladzie aerodynamicznym. 
8.	Systemy ochrony lotniska: kontrola dostępu, ograniczenia przewozu, ochrona lotnisk i samolotów. 
9. Zakładanie lotnisk.</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I.P6S_WG, I.P6S_WK, III.P6S_WK.o</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Tr1A_U01, Tr1A_U03</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2026-10-02T10:44:20+02:00</dcterms:created>
  <dcterms:modified xsi:type="dcterms:W3CDTF">2026-10-02T10:44:20+02:00</dcterms:modified>
</cp:coreProperties>
</file>

<file path=docProps/custom.xml><?xml version="1.0" encoding="utf-8"?>
<Properties xmlns="http://schemas.openxmlformats.org/officeDocument/2006/custom-properties" xmlns:vt="http://schemas.openxmlformats.org/officeDocument/2006/docPropsVTypes"/>
</file>