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TR.SIS624</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studiowanie literatury przedmiotu 28 godz., przygotowanie się do egzaminu 26 godz., konsultacje 2 godz., udział w egzaminie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 udział w egzaminach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wysokiego ciśnienia, regulatory ciśnienia,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w:t>
      </w:r>
    </w:p>
    <w:p>
      <w:pPr>
        <w:keepNext w:val="1"/>
        <w:spacing w:after="10"/>
      </w:pPr>
      <w:r>
        <w:rPr>
          <w:b/>
          <w:bCs/>
        </w:rPr>
        <w:t xml:space="preserve">Metody oceny: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Günter H.: Diagnozowanie silników wysokoprężnych, WKŁ, Warszawa 2002.
3.	Kasedorf J., Woisetschläger E.: Układy wtryskowe benzyny. Sprawdzanie i regulacja, Wyd. 2, WKŁ, Warszawa 2000.
4.	Lozia Z. (red.) Diagnostyka samochodowa. Laboratorium, Oficyna Wydawnicza Politechniki Warszawskiej, Warszawa 2015; ISBN: 978-83-7814-322-2.
5.	Niziński St. (red.). Diagnostyka samochodów osobowych i ciężarowych, Dom Wydawniczy Bellona, Warszawa 1999.
6.	Merkisz J., Mazurek St.: Pokładowe systemy diagnostyczne pojazdów samochodowych, WKŁ, Warszawa 2002.
7.	Rokosch U.: Układy oczyszczania spalin i pokładowe systemy diagnostyczne samochodów, WKŁ, Warszawa 2007.
8.	Trzeciak K., Diagnostyka samochodów osobowych, WKŁ, Warszawa 2010.
9.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 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W02: </w:t>
      </w:r>
    </w:p>
    <w:p>
      <w:pPr/>
      <w:r>
        <w:rPr/>
        <w:t xml:space="preserve">Zna podstawowe pojęcia związane z diagnozowaniem obiektów technicznych, a w szczególności pojazdów samochodowych oraz ma szczegółową wiedzę o parametrach diagnostycznych określających funkcjonowanie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Tr1A_U11, Tr1A_U18</w:t>
      </w:r>
    </w:p>
    <w:p>
      <w:pPr>
        <w:spacing w:before="20" w:after="190"/>
      </w:pPr>
      <w:r>
        <w:rPr>
          <w:b/>
          <w:bCs/>
        </w:rPr>
        <w:t xml:space="preserve">Powiązane charakterystyki obszarowe: </w:t>
      </w:r>
      <w:r>
        <w:rPr/>
        <w:t xml:space="preserve">I.P6S_UW, III.P6S_UW.2.o,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2026-10-21T13:11:22+02:00</dcterms:created>
  <dcterms:modified xsi:type="dcterms:W3CDTF">2026-10-21T13:11:22+02:00</dcterms:modified>
</cp:coreProperties>
</file>

<file path=docProps/custom.xml><?xml version="1.0" encoding="utf-8"?>
<Properties xmlns="http://schemas.openxmlformats.org/officeDocument/2006/custom-properties" xmlns:vt="http://schemas.openxmlformats.org/officeDocument/2006/docPropsVTypes"/>
</file>