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9 godz. laboratorium;
c) 2 godz. konsultacji.
2. Praca własna studenta - 
a) 25 godz. przygotowanie projektów;
b) 25 godz. - studiowanie literatury, przygotowanie się do kolokwiów.
Ogółem - 70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 Teoria powierzchni nośnej. Płaty o małym wydłużeniu i układy hybrydowe. Opływ płata przy dużych kątach natarcia, nieliniowe efekty aerodynamiczne. Przepływ transoniczny, podobieństwo transoniczne, skrzydło skośne. Opór falowy brył 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ZNK302_W3: </w:t>
      </w:r>
    </w:p>
    <w:p>
      <w:pPr/>
      <w:r>
        <w:rPr/>
        <w:t xml:space="preserve">Student posiada wiedzę odnośnie podstaw techniki laboratoryjnych pomiarów 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2026-10-21T16:22:58+02:00</dcterms:created>
  <dcterms:modified xsi:type="dcterms:W3CDTF">2026-10-21T16:22:58+02:00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