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sterowania i zasilania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ZNS601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nauka do kolokwium: 30 godz
praca w domu (praca własna): 25 godz.
konsultacje: 3godz.</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(prowadzenie wykładu: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Podsawy Automatyki i Sterowania</w:t>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Silniki turbo-odrzutowe, strumieniowe, rakietowe i tłokowe jako obiekty regulacji i sterowania. Sposoby i metody identyfikacji stanu pracy silnika spalinowego. Podstawy sterowania i regulacji silników. Różne techniki sprzętowych rozwiązań układów zasilania i sterowania. Rodzaje i typy stosowanych regulatorów oraz projektowanie regulatorów. Systemy rejestracji i nadzoru parametrów pracy silników oraz ocena stanu technicznego układu zasilania i sterowania silnikiem. Tendencje i kierunki rozwoju układów zasilania i sterowania silników. Systemy regulacji i sterowania silnikami strumieniowymi i rakietowymi.
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14. Podsumowanie  </w:t>
      </w:r>
    </w:p>
    <w:p>
      <w:pPr>
        <w:keepNext w:val="1"/>
        <w:spacing w:after="10"/>
      </w:pPr>
      <w:r>
        <w:rPr>
          <w:b/>
          <w:bCs/>
        </w:rPr>
        <w:t xml:space="preserve">Metody oceny: </w:t>
      </w:r>
    </w:p>
    <w:p>
      <w:pPr>
        <w:spacing w:before="20" w:after="190"/>
      </w:pPr>
      <w:r>
        <w:rPr/>
        <w:t xml:space="preserve">Przedmiot zaliczany jest na podstawie pisemnego kolokwium i ustnej odpowiedzi
Praca własna: Zapoznanie się z układami zasilania i sterowanie różnego rodzaju silników lotniczych i prowadzenie analizy zasad ich działania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Dodatkowe literatura:
-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2026-10-01T01:47:34+02:00</dcterms:created>
  <dcterms:modified xsi:type="dcterms:W3CDTF">2026-10-01T01:47:34+02:00</dcterms:modified>
</cp:coreProperties>
</file>

<file path=docProps/custom.xml><?xml version="1.0" encoding="utf-8"?>
<Properties xmlns="http://schemas.openxmlformats.org/officeDocument/2006/custom-properties" xmlns:vt="http://schemas.openxmlformats.org/officeDocument/2006/docPropsVTypes"/>
</file>