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90, &lt;br&gt;
2) Praca własna studenta – 90 godz. &lt;br&gt;
Razem – 180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wykonywania zaawansowanego projektu, przede wszystkim dzięki pracy własnej, z niewielką pomocą prowadzącego. W szczególności rozwiązania postawionego problemu, doboru literatury, metod badawczych, przedstawienia i krytycznej analizy wyników.  &lt;br&gt;
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 &lt;br&gt;
Tematyka musi być zgodna z kierunkiem i specjalnością studiów wybranymi przez studenta.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ML.NK491_W1: </w:t>
      </w:r>
    </w:p>
    <w:p>
      <w:pPr/>
      <w:r>
        <w:rPr/>
        <w:t xml:space="preserve">Posiada poszerzoną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ML.NK491_U1: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ML.NK491_U2: </w:t>
      </w:r>
    </w:p>
    <w:p>
      <w:pPr/>
      <w:r>
        <w:rPr/>
        <w:t xml:space="preserve">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ML.NK491_U2: </w:t>
      </w:r>
    </w:p>
    <w:p>
      <w:pPr/>
      <w:r>
        <w:rPr/>
        <w:t xml:space="preserve">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ML.NK491_U3: </w:t>
      </w:r>
    </w:p>
    <w:p>
      <w:pPr/>
      <w:r>
        <w:rPr/>
        <w:t xml:space="preserve">Potrafi rozwiązać proste zadanie z zakresu automatyki i robotyki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I.P7S_UO</w:t>
      </w:r>
    </w:p>
    <w:p>
      <w:pPr>
        <w:keepNext w:val="1"/>
        <w:spacing w:after="10"/>
      </w:pPr>
      <w:r>
        <w:rPr>
          <w:b/>
          <w:bCs/>
        </w:rPr>
        <w:t xml:space="preserve">Charakterystyka ML.NK491_U3: </w:t>
      </w:r>
    </w:p>
    <w:p>
      <w:pPr/>
      <w:r>
        <w:rPr/>
        <w:t xml:space="preserve">Potrafi rozwiązać proste zadanie z zakresu automatyki i robotyki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ML.NK491_U4: </w:t>
      </w:r>
    </w:p>
    <w:p>
      <w:pPr/>
      <w:r>
        <w:rPr/>
        <w:t xml:space="preserve">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ML.NK491_K1: </w:t>
      </w:r>
    </w:p>
    <w:p>
      <w:pPr/>
      <w:r>
        <w:rPr/>
        <w:t xml:space="preserve">Potrafi myśleć w sposób kreatywny samodzielnie proponując sposób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2025-07-07T22:49:04+02:00</dcterms:created>
  <dcterms:modified xsi:type="dcterms:W3CDTF">2025-07-07T22:49:04+02:00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