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wykładu. 
2) Praca własna studenta: 45 godz., w tym: 
a) 35 godz. przygotowanie się do zajęć;
 b) 10 godz. przygotowanie się zaliczenia przedmiotu.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ML.NW143_W1: </w:t>
      </w:r>
    </w:p>
    <w:p>
      <w:pPr/>
      <w:r>
        <w:rPr/>
        <w:t xml:space="preserve">																					Student ma elementarną wiedzę o istocie „społeczeństwa informacyjnego” oraz o wpływie rozwoju technologii na przemiany życia społecznego.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LiK2_W21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ML.NW143_U1: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LiK2_U01, LiK2_U05, LiK2_U13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ML.NW143_K1: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LiK2_K01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ML.NW143_K2: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charakterystyki kierunkowe: </w:t>
      </w:r>
      <w:r>
        <w:rPr/>
        <w:t xml:space="preserve">LiK2_K02, LiK2_K07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2026-10-01T16:58:32+02:00</dcterms:created>
  <dcterms:modified xsi:type="dcterms:W3CDTF">2026-10-01T16:58:32+02:00</dcterms:modified>
</cp:coreProperties>
</file>

<file path=docProps/custom.xml><?xml version="1.0" encoding="utf-8"?>
<Properties xmlns="http://schemas.openxmlformats.org/officeDocument/2006/custom-properties" xmlns:vt="http://schemas.openxmlformats.org/officeDocument/2006/docPropsVTypes"/>
</file>