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Student posiada podstawową wiedzę w zakresie teorii fal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ML.NK480_W4: </w:t>
      </w:r>
    </w:p>
    <w:p>
      <w:pPr/>
      <w:r>
        <w:rPr/>
        <w:t xml:space="preserve">Student posiada podstawową wiedzę nt. symetrii w fizyce i ich związku z zasadami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Student potrafi rozwiązać proste problemy z mechaniki relatywistycznej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ML.NK480_U4: </w:t>
      </w:r>
    </w:p>
    <w:p>
      <w:pPr/>
      <w:r>
        <w:rPr/>
        <w:t xml:space="preserve">Student potrafi wyjaśnić metodę holografii optycznej i podać przykłady jej zastosowań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ML.NK480_U5: </w:t>
      </w:r>
    </w:p>
    <w:p>
      <w:pPr/>
      <w:r>
        <w:rPr/>
        <w:t xml:space="preserve">Student potrafi opisać podstawowe zastosowania techniczne światłowodów oraz technologię ich ich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ML.NW480_U1: </w:t>
      </w:r>
    </w:p>
    <w:p>
      <w:pPr/>
      <w:r>
        <w:rPr/>
        <w:t xml:space="preserve">Student potrafi zastosować transformację Lorentza do opisu zjawisk w mechanice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2026-10-21T13:16:52+02:00</dcterms:created>
  <dcterms:modified xsi:type="dcterms:W3CDTF">2026-10-21T13:16:52+02:00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