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Janisław Zwoliński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
a) wykład - 30 godz.,
b) konsultacje - 2 godz.
2) Praca własna studenta - 40 godz. w tym:
a) studiowanie literatury, przygotowywanie się do wykładu - 10, godz., 
b) zadania domowe - 10 godz., 
c) praca nad miniprojektem - 10 godz.
d) przygotowywanie się do sprawdzianu - 10 godz.
Razem - 72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liczba godzin kontaktowych - 32 godz.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konstrukcji wg tzw. nośności granicznej w warunkach obciążeń ekstremalnych – siłowych i przemieszczeniowych, efekty termiczne.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teorii sprężystości i plastyczności. Zagadnienie mechaniki pękania. Problemy zmęczenia niskocyklowego, zjawisko pełzania. Zagadnienie prętowe (rurociągi). Zagadnienie powłokowe (zbiorniki ciśnieniowe, silosy, autoklawy, wymienniki ciepła). Przykłady konstrukcji tarczowo-płytowych. Kształtowanie konstrukcji na podstawie rozwiązań teorii nośności granicznej.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zadań domowych, ocena miniprojektu, sprawdzian.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Dodatkowe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ML.NS643_W1: </w:t>
      </w:r>
    </w:p>
    <w:p>
      <w:pPr/>
      <w:r>
        <w:rPr/>
        <w:t xml:space="preserve">Zna metody wyznaczania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ML.NS643_W2: </w:t>
      </w:r>
    </w:p>
    <w:p>
      <w:pPr/>
      <w:r>
        <w:rPr/>
        <w:t xml:space="preserve">Posiada wiedzę z zakresu podstaw mechaniki pękania.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ML.NS643_W3: </w:t>
      </w:r>
    </w:p>
    <w:p>
      <w:pPr/>
      <w:r>
        <w:rPr/>
        <w:t xml:space="preserve">Posiada wiedzę z zakresu zmęczenia niskocyklowego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ML.NS643_U2: </w:t>
      </w:r>
    </w:p>
    <w:p>
      <w:pPr/>
      <w:r>
        <w:rPr/>
        <w:t xml:space="preserve">Umie wykonać obliczenia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ML.NS643_U3: </w:t>
      </w:r>
    </w:p>
    <w:p>
      <w:pPr/>
      <w:r>
        <w:rPr/>
        <w:t xml:space="preserve">Potrafi ocenić trwałość zmęczeniową niskocyklową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ML.NS643_U4: </w:t>
      </w:r>
    </w:p>
    <w:p>
      <w:pPr/>
      <w:r>
        <w:rPr/>
        <w:t xml:space="preserve">Umie wykonać obliczenia prędkości pękania i krytycznej głębokości szczeliny.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2026-08-19T23:47:54+02:00</dcterms:created>
  <dcterms:modified xsi:type="dcterms:W3CDTF">2026-08-19T23:47:54+02:00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