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Szczepan Glita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18 godz. - projekt,
b) 5 godz. - konsultacje.
2. Praca własna studenta:  52 godz., praca nad przygotowaniem projektu konstrukcyjnego.
3. 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23, w tym:
a) 18 godz. - projekt,
b) 5 godz.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II", "Materiały I", "Techniki Wytwarzania II", "Podstawy Konstrukcji Maszyn III", "Zapis Konstrukcji CAD II", "Zintegrowane systemy CAD/CAM/CAE", "Podstawy Konstrukcji Maszyn IV".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zespołów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układu przeniesienia napędu. Dobór przekładni i silnika zgodnie z odpowiednimi metodami obliczeniowymi. Dobór materiałów do elementów niestandardowych. Propozycja kształtu elementów niestandardowych. Dobór łożysk, rodzajów zabezpieczeń, uszczelnień i systemu smarowania. Dobór elementów gotowych dostępnych na rynku. Obliczenia statyki i wytrzymałości. Wykonanie w systemie CAD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L.W. Kurmaz,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ZNK368_U4: </w:t>
      </w:r>
    </w:p>
    <w:p>
      <w:pPr/>
      <w:r>
        <w:rPr/>
        <w:t xml:space="preserve">							Potrafi wykorzystywać systemy wspomagania projektowania typu CAD/CAE na wszystkich etapach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2026-10-21T13:31:28+02:00</dcterms:created>
  <dcterms:modified xsi:type="dcterms:W3CDTF">2026-10-21T13:31:28+02:00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