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ML.NS739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-15  godz.,
b) laboratorium komputerowe -15 godz.,
c) konsultacje - 5 godz.
2) Praca własna studenta - 40 godz., w tym:
a) przygotowanie do kolokwiów - 20 godz.,
b) przygotowanie do ćwiczeń laboratoryjnych - 20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wykład, prowadzenie ćwiczeń laboratoryjnych,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("Mechanika Płynów I", "Fluid Mechanics I"),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4. C.G. Caro i inni, The Mechanics of the Circulation, 2nd Ed., Cambridge, 2012. 
5. 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ML.NS739_W2: </w:t>
      </w:r>
    </w:p>
    <w:p>
      <w:pPr/>
      <w:r>
        <w:rPr/>
        <w:t xml:space="preserve">									Student posiada podstawową wiedzę nt.  zjawisk fizycznych zachodzących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ML.NS739_U3: </w:t>
      </w:r>
    </w:p>
    <w:p>
      <w:pPr/>
      <w:r>
        <w:rPr/>
        <w:t xml:space="preserve">			Student potrafi rozwiązać analitycznie wybrane przypadki przepływu płynu nienewtonowskiego w prostych geometriach.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2026-10-01T16:16:06+02:00</dcterms:created>
  <dcterms:modified xsi:type="dcterms:W3CDTF">2026-10-01T16:16:06+02:00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