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3, Zapis Konstrukcji CAD 2, Zintegrowane systemy CAD/CAM/CAE.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podzespołu lotniczego lub układu przeniesienia napędu wspomagany systemami CAD/CAE. Dobór materiałów konstrukcyjnych do elementów niestandardowych. Propozycja kształtu elementów niestandardowych. Dobór łożysk, rodzajów zabezpieczeń, uszczelnień i systemu smarowania. Dobór elementów gotowych dostępnych na rynku. Obliczenia statyki i wytrzymałości. Wykonanie w systemie CAD dokumentacji rysunkowej, w tym rysunku złożeniowego i rysunków wykonawczych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Projektowanie węzłów i części maszyn, L. i O. Kurmaz, Wydawnictwo Politechniki Świętokrzyskiej.
2. Podstawy konstrukcji maszyn, praca zbiorowa pod redakcją M.Dietricha, WNT.
3. Przykłady obliczeń z podstaw konstrukcji maszyn, E. Mazanek, Politechnika Częstochowska.
4. Podstawy konstrukcji maszyn, seria podręczników, T. Szopa, Oficyna Wydawnicza PW.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ML.NK368_W1: </w:t>
      </w:r>
    </w:p>
    <w:p>
      <w:pPr/>
      <w:r>
        <w:rPr/>
        <w:t xml:space="preserve">							Zna zasady doboru materiałów konstrukcyjnych w procesie projektowania maszyn.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urządzenie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2026-08-20T00:42:47+02:00</dcterms:created>
  <dcterms:modified xsi:type="dcterms:W3CDTF">2026-08-20T00:42:47+02:00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