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3, Zapis Konstrukcji CAD 2, Zintegrowane systemy CAD/CAM/CAE.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podzespołu lotniczego lub układu przeniesienia napędu wspomagany systemami CAD/CAE. Dobór materiałów konstrukcyjnych do elementów niestandardowych. Propozycja kształtu elementów niestandardowych. Dobór łożysk, rodzajów zabezpieczeń, uszczelnień i systemu smarowania. Dobór elementów gotowych dostępnych na rynku. Obliczenia statyki i wytrzymałości. Wykonanie w systemie CAD dokumentacji rysunkowej, w tym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Projektowanie węzłów i części maszyn, L. i O. Kurmaz, Wydawnictwo Politechniki Świętokrzyskiej.
2. Podstawy konstrukcji maszyn, praca zbiorowa pod redakcją M.Dietricha, WNT.
3. Przykłady obliczeń z podstaw konstrukcji maszyn, E. Mazanek, Politechnika Częstochowska.
4. Podstawy konstrukcji maszyn, seria podręczników, T. Szopa, Oficyna Wydawnicza PW.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ML.NK368_W1: </w:t>
      </w:r>
    </w:p>
    <w:p>
      <w:pPr/>
      <w:r>
        <w:rPr/>
        <w:t xml:space="preserve">							Zna zasady doboru materiałów konstrukcyjnych w procesie projektowania maszyn.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urządzenie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2026-10-21T13:20:08+02:00</dcterms:created>
  <dcterms:modified xsi:type="dcterms:W3CDTF">2026-10-21T13:20:08+02:00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