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Materiały konstrukcyjne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Marek Kostecki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 Pojazdów i Maszyn Roboczych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Materiały konstrukcyjne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1150-MT000-IZP-0104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 Liczba godzin kontaktowych: - 16 godz.  wykładu.
2)  Praca własna studenta - 59 godzin, w tym:
a)  bieżące przygotowywanie się studenta do 2 kolokwiów – 20 godz.
b) studia literaturowe – 35 godz. 
3) RAZEM –75 godzin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 0,6 punktu ECTS –  16 godz.  wykładu.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16h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z zakresu matematyki fizyki i chemii nabyta w szkole średniej, dotycząca: budowy i mechaniki ciała stałego, podstawowych oddziaływań fizycznych, rodzaju wiązań chemicznych i ich wpływie na właściwości materii.    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zgodnie z zarządzeniem Rektora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Zdobycie wiedzy na temat:
•	Budowy metali i ich stopów,
•	Układów równowagi fazowej,
•	Właściwości mechanicznych materiałów konstrukcyjnych
•	Budowy, właściwości i zastosowaniach tworzyw ceramicznych, polimerów, kompozytów i szkła.
•	Technik inżynierii powierzchni.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Zapoznanie studentów z budową metali, ich właściwościami fizycznymi i mechanicznymi, sposobami ich umacniania. Poznanie wykresów równowagi fazowej. Zdobycie informacji o obróbce cieplnej metali, ich przemysłowych stopach. Przyswojenie podstawowych informacji o materiałach ceramicznych, polimerach, kompozytach.  Zapoznanie słuchaczy z zagadnieniami dotyczącymi inżynierii powierzchni.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pracy pisemnej (kolokwium) i ew. weryfikacja formy pisemnej w trakcie rozmowy ze studentem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•	Dobrzański L., Podstawy Nauki o Materiałach i Metaloznawstwo, WNT, Warszawa  2006.
•	Ashby M. F., Jones D. R. H., Materiały inżynierskie Tom 1 Właściwości i zastosowania, wydanie 1, WN-T, Warszawa 1995.
•	Ashby M. F., Jones D. R. H., Materiały inżynierskie Tom 2 Kształtowanie struktury i właściwości, dobór materiałów, wydanie 1, WN-T, Warszawa 1996.
•	Przybyłowicz K., Metaloznawstwo, wydanie 5 poprawione i uzupełnione, WN-T, Warszawa 1996.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1150-MT000-IZP-0104_W1: </w:t>
      </w:r>
    </w:p>
    <w:p>
      <w:pPr/>
      <w:r>
        <w:rPr/>
        <w:t xml:space="preserve">Wyjaśnia aspekty budowy i uporządkowania materii oraz zachodzących w niej przemian.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i rozmowa w trakcie konsultacji.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KMchtr_W05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1150-MT000-IZP-0104_W2: </w:t>
      </w:r>
    </w:p>
    <w:p>
      <w:pPr/>
      <w:r>
        <w:rPr/>
        <w:t xml:space="preserve">Definiuje podstawowe grupy konstrukcyjnych materiałów inżynierskich, określa ich strukturę i właściwości oraz wymienia ich zastosowania.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i rozmowa w trakcie konsultacji.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KMchtr_W05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1150-MT000-IZP-0104_W3: </w:t>
      </w:r>
    </w:p>
    <w:p>
      <w:pPr/>
      <w:r>
        <w:rPr/>
        <w:t xml:space="preserve">Opisuje główne grupy stali, żeliw, podstawowe stopy metali nieżelaznych, podstawowe grupy polimerów, szkła i ceramiki oraz kompozytów.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i rozmowa w trakcie konsultacji.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KMchtr_W05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1150-MT000-IZP-0104_W4: </w:t>
      </w:r>
    </w:p>
    <w:p>
      <w:pPr/>
      <w:r>
        <w:rPr/>
        <w:t xml:space="preserve">Zna i rozumie istotę  stosowania podstawowych obróbek powierzchniowych dla wybranych grup materiałów.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i rozmowa w trakcie konsultacji.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KMchtr_W05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1150-MT000-IZP-0104_U1: </w:t>
      </w:r>
    </w:p>
    <w:p>
      <w:pPr/>
      <w:r>
        <w:rPr/>
        <w:t xml:space="preserve">Potrafi dobrać materiał i jego właściwości do zastosowań praktycznych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i rozmowa w trakcie konsultacji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KMchtr_U15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1150-MT000-IZP-0104_K1: </w:t>
      </w:r>
    </w:p>
    <w:p>
      <w:pPr/>
      <w:r>
        <w:rPr/>
        <w:t xml:space="preserve">Ma świadomość ważności i zrozumienie pozatechnicznych aspektów i skutków działalności inżynierskiej, w tym jej wpływu na środowisko, i związanej z tym odpowiedzialności za podejmowane decyzje.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i rozmowa w trakcie konsultacji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KMchtr_K02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2025-04-14T06:16:19+02:00</dcterms:created>
  <dcterms:modified xsi:type="dcterms:W3CDTF">2025-04-14T06:16:19+02:00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