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150-MT000-IZP-0206</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ćwiczenia - 8 godz.
2) Praca własna studenta – 74 godzin, w tym:
a) 22 godz. – bieżące przygotowywanie się studenta do ćwiczeń, studia literaturowe,
b) 22 godz. – bieżące przygotowywanie materiałów dot. wykładów, studia literaturowe,
c) 15 godz. – przygotowywanie się studenta do 2 kolokwiów z wykładów,
d) 15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0,64 punktu ECTS – liczba godzin kontaktowych - 16, w tym:
a) wykład - 8 godz.;
b) ćwiczenia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1150-MT000-IZP-0206_W01 :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1150-MT000-IZP-0206_K01: </w:t>
      </w:r>
    </w:p>
    <w:p>
      <w:pPr/>
      <w:r>
        <w:rPr/>
        <w:t xml:space="preserve">Potrafi myśleć i działać w sposób przedsiębiorczy.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KMchtr_K05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2026-08-19T19:25:22+02:00</dcterms:created>
  <dcterms:modified xsi:type="dcterms:W3CDTF">2026-08-19T19:25:22+02:00</dcterms:modified>
</cp:coreProperties>
</file>

<file path=docProps/custom.xml><?xml version="1.0" encoding="utf-8"?>
<Properties xmlns="http://schemas.openxmlformats.org/officeDocument/2006/custom-properties" xmlns:vt="http://schemas.openxmlformats.org/officeDocument/2006/docPropsVTypes"/>
</file>