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1150-MTPOJ-IZP-0321</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- 25, w tym
a) wykład – 16 godz.;
b) laboratorium – 8 godz.;
c) konsultacje – 1 godz.;
2) Praca własna studenta 66 godzin, w tym:
a)	 10 godz. – bieżące przygotowywanie się studenta do wykładu;
b)	 11 godz. – studia literaturowe;
c)	 10 godz. – przygotowywanie się studenta do kolokwiów;
d)	 15 godz. – przygotowywanie się studenta do ćwiczeń;
e)	 20 godz. – wykonanie sprawozdań.
3) RAZEM – 91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 16 godz.;
b) laboratorium – 8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1,5 punktu ECTS – 43 godz., w tym:
1) ćwiczenia laboratoryjne – 8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Nabycie przez studentów umiejętności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dwóch pisemnych kolokwiów. Dopuszczalne jest również ustne kolokwium poprawkowe.
Laboratorium:
Przed rozpoczęciem ćwiczenia przeprowadzany jest krótki sprawdzian ustny/pisemny weryfikujący przygotowanie studentów do zajęć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Lassota W., Olechowicz J., Tylman K., Żebrowski Z.: Ćwiczenia laboratoryjne z ciągników i napędów hydraulicznych. Warszawa, Oficyna Wydawnicza Politechniki Warszawskiej 1994
10.	Lechner G., Naunheimer H.: Fahrzeuggetriebe. Berlin: Springer-Verlag 1994.
11.	Micknass W., Popiol R., Sprenger A.: Sprzęgła, skrzynki biegów, wały napędowe i półosie napędowe. Warszawa, WKŁ 2005.
12.	Orzełowski S.: Eksperymentalne badania samochodów i ich zespołów. Wydawnictwa Naukowo-Techniczne, Warszawa 1995.
13.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1150-MTPOJ-IZP-0321_W1: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KMchtr_W20, KMchtr_W17, KMchtr_W18, KMchtr_W19</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1150-MTPOJ-IZP-0321_W2: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1150-MTPOJ-IZP-0321_W3: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1150-MTPOJ-IZP-0321_W4: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1150-MTPOJ-IZP-0321_W5: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1150-MTPOJ-IZP-0321_U1: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1150-MTPOJ-IZP-0321_U2: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1150-MTPOJ-IZP-0321_U3: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charakterystyki kierunkowe: </w:t>
      </w:r>
      <w:r>
        <w:rPr/>
        <w:t xml:space="preserve">KMchtr_U18, KMchtr_U15, KMChtr_U16, KMchtr_U17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1150-MTPOJ-IZP-0321_K1: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2026-09-30T21:48:35+02:00</dcterms:created>
  <dcterms:modified xsi:type="dcterms:W3CDTF">2026-09-30T21:48:35+02:00</dcterms:modified>
</cp:coreProperties>
</file>

<file path=docProps/custom.xml><?xml version="1.0" encoding="utf-8"?>
<Properties xmlns="http://schemas.openxmlformats.org/officeDocument/2006/custom-properties" xmlns:vt="http://schemas.openxmlformats.org/officeDocument/2006/docPropsVTypes"/>
</file>