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 przedmiotu: Prodziekan ds. Studiów Niestacjonarnych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1150-MT000-IZP-0420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- 80 godz. projektu.
2) Praca własna studenta – 295 godz., w tym:
a) studia literaturowe: 65 godz.;
b) praca nad przygotowaniem pracy dyplomowej: 230 godz.
3) RAZEM – 375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3,2 punkty ECTS – 80 godz. projektu.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punktów ECTS - 375 godzin pracy studenta, w tym: 
a) udział w ćwiczeniach projektowych - 80 godzin;
b) praca nad przygotowaniem pracy dyplomowej – 230 godzin;
c)  studia literaturowe: 65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opracowanie przez studenta pracy dyplomowej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pracę własną studenta w zakresie niezbędnym do realizacji pracy dyplomowej określonym w porozumieniu z promotorem pracy. Tematyka pracy dyplomowej powinna być powiązana z realizowanym kierunkiem studiów. Praca dyplomowa inżynierska powinna wykazać posiadanie przez dyplomanta umiejętności rozwiązywania problemów, opartej na znajomości podstaw teoretycznych lub doświadczeniach empirycznych oraz wykorzystywania znanych metod, analiz i/lub komputerowych programów dotyczących rozpatrywanego problemu. Praca dyplomowa powinna stanowić rozwiązanie wskazanego dyplomantowi zadania na podstawie informacji znajdujących się w dostępnym piśmiennictwie. Praca dyplomowa inżynierska powinna dotyczyć procesów i urządzeń technicznych i technologicznych. Przedmiotem pracy dyplomowej inżynierskiej może być w szczególności: rozwiązanie zadania z zakresu projektowania, wytwarzania lub eksploatacji urządzeń technicznych i obiektów, wykonanie badań wraz z analizą uzyskanych wyników, opracowanie programu komputerowego o odpowiednim stopniu trudności.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dyplomowej przez Promotora.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dobrana przez studenta w porozumieniu z promotorem pracy z zakresu związanego z tematem pracy dyplomowej 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1150-MT000-IZP-0420_W1: </w:t>
      </w:r>
    </w:p>
    <w:p>
      <w:pPr/>
      <w:r>
        <w:rPr/>
        <w:t xml:space="preserve">Posiada wiedzę jak pozyskiwać dane z literatury i baz danych; potrafi ocenić działanie zasad i praw dotyczących ochrony własności intelektualnej. Ma uporządkowaną wiedzę w zakresie mechatroniki pojazdów oraz orientuje się w jej obecnym stanie oraz najnowszych trendach rozwojowych.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KMchtr_W19, KMchtr_W22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1150-MT000-IZP-0420_U1: </w:t>
      </w:r>
    </w:p>
    <w:p>
      <w:pPr/>
      <w:r>
        <w:rPr/>
        <w:t xml:space="preserve">Potrafi zaprojektować proste urządzenie, system lub proces, używając właściwych metod, technik i narzędzi z uwzględnieniem zastosowania odpowiednich materiałów i technologii wykonania.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KMchtr_U11, KMchtr_U14, KMchtr_U21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1150-MT000-IZP-0420_U2: </w:t>
      </w:r>
    </w:p>
    <w:p>
      <w:pPr/>
      <w:r>
        <w:rPr/>
        <w:t xml:space="preserve">Potrafi dokonać wstępnej analizy ekonomicznej projektowanych rozwiązań konstrukcyjnych lub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1150-MT000-IZP-0420_U3: </w:t>
      </w:r>
    </w:p>
    <w:p>
      <w:pPr/>
      <w:r>
        <w:rPr/>
        <w:t xml:space="preserve">Potrafi pozyskiwać informacje z literatury, bazy danych oraz innych źródeł w zakresie swojego kierunku studiów; potrafi ocenić działanie zasad i praw dotyczących ochrony własności intelektualnej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KMchtr_U01, KMchtr_U03, KMchtr_U04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1150-MT000-IZP-0420_K1: </w:t>
      </w:r>
    </w:p>
    <w:p>
      <w:pPr/>
      <w:r>
        <w:rPr/>
        <w:t xml:space="preserve">Ma świadomość roli absolwenta uczelni technicznej w przekazywaniu szerszemu gremium osiągnięć mechatroniki pojazdów i maszyn roboczych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KMchtr_K02, KMchtr_K04, KMchtr_K06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2026-09-12T12:53:04+02:00</dcterms:created>
  <dcterms:modified xsi:type="dcterms:W3CDTF">2026-09-12T12:53:04+02:00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