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1150-MT000-IZP-0306</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-18, w tym: 
a)	wykład - 8 godz.;
b)	laboratorium - 8 godz.;
c)     konsultacje 2 godz
2) Praca własna studenta -  58 godz., w tym 
a)	30 godz. – bieżące przygotowywanie się do ćwiczeń  i wykładów (analiza literatury),
b)	8 godz. – realizacja zadań domowych,
c)	20 godz. - przygotowywanie się do 2 kolokwiów ,
3) RAZEM – 76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- 18., w tym:
a)	wykład -8 godz.;
b)	laboratorium- 8 godz.;;
c)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- 26 godz., w tym:
1)	ćwiczenia  laboratoryjne  – 8 godz.;
2)	10 godz. – przygotowywanie się do ćwiczeń laboratoryjnych;
3)	8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laboratorium – grupy 7-12 osób, wykład – bez limitu</w:t>
      </w:r>
    </w:p>
    <w:p>
      <w:pPr>
        <w:keepNext w:val="1"/>
        <w:spacing w:after="10"/>
      </w:pPr>
      <w:r>
        <w:rPr>
          <w:b/>
          <w:bCs/>
        </w:rPr>
        <w:t xml:space="preserve">Cel przedmiotu: </w:t>
      </w:r>
    </w:p>
    <w:p>
      <w:pPr>
        <w:spacing w:before="20" w:after="190"/>
      </w:pPr>
      <w:r>
        <w:rPr/>
        <w:t xml:space="preserve">Poznanie rodzajów maszyn roboczych, ich budowy i zasady działania. Nabycie przez studentów wiedzy nt. tendencji rozwojowych maszyn roboczych. Nabycie przez studentów umiejętności przedstawienia schematów funkcjonalnych maszyn roboczych.</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krótkiego sprawdzianu ustnego/pisemnego tzw.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www.Wydział Samochodów i Maszyn Roboczych.pw.edu.pl/Strona-glowna-wydzialu-Wydział Samochodów i Maszyn Roboczych/Studia/Kierunki-studiow-i-specjalnosci/Mechanika-i-Budowa-Maszyn-I-stopien-stacjonarne/Maszyny-Robocze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1150-MT000-IZP-0306_W1: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KMchtr_W13, KMchtr_W17, KMchtr_W19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1150-MT000-IZP-0306_U1: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KMchtr_U04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1150-MT000-IZP-0306-K1: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Raport z ćwiczenia lab.</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2025-07-09T09:26:18+02:00</dcterms:created>
  <dcterms:modified xsi:type="dcterms:W3CDTF">2025-07-09T09:26:18+02:00</dcterms:modified>
</cp:coreProperties>
</file>

<file path=docProps/custom.xml><?xml version="1.0" encoding="utf-8"?>
<Properties xmlns="http://schemas.openxmlformats.org/officeDocument/2006/custom-properties" xmlns:vt="http://schemas.openxmlformats.org/officeDocument/2006/docPropsVTypes"/>
</file>