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16 godz.;
b) laboratorium – 8 godz.;
c) konsultacje – 6 godz.;
2) Praca własna studenta – w tym:  75 godzin, w tym:
a)	 10 godz. – bieżące przygotowywanie się studenta do wykładu;
b)	 20 godz. – studia literaturowe;
c)	 10 godz. – przygotowywanie się studenta do kolokwium;
d)	 15 godz. – przygotowywanie się studenta do ćwiczeń;
e)	 20 godz. – wykonanie prac domowych.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– 30, w tym:
a) wykład – 16 godz.;
b) laboratorium – 8 godz.;
c) konsultacje –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– 40 godz., w tym:
1) ćwiczenia laboratoryjne – 8 godz.;
2) 12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1150-MBNPO-IZP-0323_U1: </w:t>
      </w:r>
    </w:p>
    <w:p>
      <w:pPr/>
      <w:r>
        <w:rPr/>
        <w:t xml:space="preserve">Potrafi sformułować stosowne kryteria projektowe dla danego etapu projektowania nadwozia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2026-09-30T16:16:11+02:00</dcterms:created>
  <dcterms:modified xsi:type="dcterms:W3CDTF">2026-09-30T16:16:11+02:00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