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
a) wykład - 20 godz.;
b) laboratorium  - 10 godz.;
c) konsultacje - 3 godz.
 2) Praca własna studenta -  80 godzin, w tym:
a) 20 godz. – bieżące przygotowywanie się studenta do wykładu;
b) 15 godz. – studia literaturowe;
c) 25 godz. – przygotowywanie się studenta do ćwiczeń;
d) 20 godz. – wykonanie sprawozdań.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- 33, w tym:
a) wykład - 20 godz.;
b) laboratorium  - 10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punktów ECTS – 55 godz., w tym:
1) ćwiczenia laboratoryjne – 10 godz.;
2) 25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świadomość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
Laboratorium:
Programowanie ruchów robota.
Programowanie PLC.
Programowanie układu transportu.
Sterowanie fuzylogic.
Analogowe układy regulacji.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 –projekt koncepcyjny układu robotycznego .
Laboratorium:
Przed rozpoczęciem ćwiczenia przeprowadzany jest krótki sprawdzian ustny/pisemny wiedzy weryfikujący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1150-MB000-IZP-322_W1: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1150-MB000-IZP-322_W2: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1150-MB000-IZP-322_U1: </w:t>
      </w:r>
    </w:p>
    <w:p>
      <w:pPr/>
      <w:r>
        <w:rPr/>
        <w:t xml:space="preserve">Potrafi przeprowadzić podstawowe obliczenia zespołów układu kinematycznego robota oraz obciążenia 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1150-MB000-IZP-322_U2: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1150-MB000-ISP-322_K1: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2026-09-30T19:48:41+02:00</dcterms:created>
  <dcterms:modified xsi:type="dcterms:W3CDTF">2026-09-30T19:48:41+02:00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