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uwarunkowania ochrony przez drganiami i hałasem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Klekot,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1150-MBWIB-IZP-0405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- 17, w tym:
a) wykład – 16 godz.;
b) konsultacje – 1 godz.;
2) Praca własna studenta - 58 godzin, w tym:
a)	 16 godz. – bieżące przygotowywanie się studenta do wykładu;
b)	 26 godz. – studia literaturowe;
c)	 16 godz. – przygotowywanie się studenta do sprawdzianów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punkta ECTS – liczba godzin kontaktowych - 17, w tym:
a) wykład – 16 godz.;
b) konsultacje –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materiału przedmiotów: Podstawy Konstrukcji Maszyn oraz Pomiary Wielkości Dynamicznych.. Podstawowe wiadomości z przedmiotów: Matematyka, Geometria wykreślna, Podstawy zapisu konstrukcji, Materiały konstrukcyjne, Technologia, Metrologia i zamienność, Mechanika ogólna I i II, Wytrzymałość materiałów I i II, Podstawy Automatyki i Teorii Maszyn.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głównych regulacji w zakresie ochrony przed drganiami i hałasem, poznanie zasad udzielania akredytacji laboratoriom badawczym wykonującym pomiary drgań i hałasu w obszarze prawnie regulowanym.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prawne akredytacji laboratoriów i obowiązujące rozwiązania systemowe. Zadania laboratorium akredytowanego Elementy systemów jakości: księga jakości, procedury ogólne, procedury badawcze normy PN-N-ISO: 17025 jako podstawa oceny laboratorium Elementy techniczne działalności laboratorium akredytowanego, nadzór nad aparaturą badawczo – pomiarową.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na podstawie dwóch sprawdzianów pisemnych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Engel Z., Ochrona środowiska przed drganiami i hałasem, PWN, Warszawa 1993
2.	Koradecka D.: Zagrożenia czynnikami niebezpiecznymi i szkodliwymi w środowisku pracy, Warszawa: CIOP 2000
3.	Rozporządzenie Ministra Gospodarki z dnia 21 października 2008 r. w sprawie zasadniczych wymagań dla maszyn (Dz.U.2008 Nr 199, poz.1228)
4.	Rozporządzenie Ministra Gospodarki z dnia 21 grudnia 2005 r. w sprawie zasadniczych wymagań dla urządzeń używanych na zewnątrz pomieszczeń w zakresie emisji hałasu do środowiska (Dz.U.2005 Nr 263, poz. 2202 wraz z późn. zm.)
5.	Rozporządzenie Ministra Zdrowia z 2 lutego 2011 roku (Dz. U. Nr 33 poz. 166) oraz 
6.	Rozporządzenie Ministra Pracy i Polityki Społecznej z dn. 06.06.2014 r. w sprawie dopuszczalnych stężeń i natężeń czynników szkodliwych dla zdrowia w środowisku pracy (Dz. U. 2014, poz. 817, zm. Dz. U. 2016 poz. 944)
7.	Rozporządzenie Ministra Infrastruktury z dnia 12 kwietnia 2002 r. w sprawie warunków technicznych, jakim powinny odpowiadać budynki i ich usytuowanie (tekst jednolity z dnia 17 lipca 2015 r., Dz. U. 2015 Poz. 1422),
8.	Polskie Normy powołane w powyższych rozporządzeniach oraz norma akredytacyjna 17025.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1150-MBWIB-IZP-0405_W1: </w:t>
      </w:r>
    </w:p>
    <w:p>
      <w:pPr/>
      <w:r>
        <w:rPr/>
        <w:t xml:space="preserve">Zna źródła przepisów regulujących zasady ochrony przed drganiami i hałasem.  Potrafi korzystać z właściwych uregulowań dla konkretnej problematyki.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KMiBM_W15, KMiBM_W21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1150-MBWIB-IZP-0405_W2: </w:t>
      </w:r>
    </w:p>
    <w:p>
      <w:pPr/>
      <w:r>
        <w:rPr/>
        <w:t xml:space="preserve">Posiada wiedzę o zasadach funkcjonowania laboratoriów badawczych funkcjonujących w obszarach prawnie regulowanych.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KMiBM_W21, KMiBM_W23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1150-MBWIB-IZP-0405_W3 : </w:t>
      </w:r>
    </w:p>
    <w:p>
      <w:pPr/>
      <w:r>
        <w:rPr/>
        <w:t xml:space="preserve">Zna zasady udzielania akredytacji oraz podstawowe zasady działania jednostki akredytującej laboratoria.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KMiBM_W21, KMiBM_W23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1150-MBWIB-IZP-0405_U1: </w:t>
      </w:r>
    </w:p>
    <w:p>
      <w:pPr/>
      <w:r>
        <w:rPr/>
        <w:t xml:space="preserve">Potrafi zweryfikować zagrożenia oddziaływaniami wibroakustycznymi w kontekście obowiązujących uregulowań prawnych.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KMiBM_U12, KMiBM_U15, KMiBM_U25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1150-MBWIB-IZP-0405_U2: </w:t>
      </w:r>
    </w:p>
    <w:p>
      <w:pPr/>
      <w:r>
        <w:rPr/>
        <w:t xml:space="preserve">Potrafi ocenić możliwości badawcze konkretnego laboratorium do przeprowadzenia oceny zagrożeń drganiami i hałasem.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KMiBM_U09, KMiBM_U13, KMiBM_U17, KMiBM_U25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1150-MBWIB-IZP-0405_U3: </w:t>
      </w:r>
    </w:p>
    <w:p>
      <w:pPr/>
      <w:r>
        <w:rPr/>
        <w:t xml:space="preserve">Potrafi zaproponować tryb postępowania prowadzący do uzyskania akredytacji laboratorium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KMiBM_U12, KMiBM_U13, KMiBM_U16, KMiBM_U19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1150-MBWIB-IZP-0405_K1: </w:t>
      </w:r>
    </w:p>
    <w:p>
      <w:pPr/>
      <w:r>
        <w:rPr/>
        <w:t xml:space="preserve">Student jest świadomy celowości stosowania maszyn cichobieżnych o niskim poziomie drgań oddziałujących na użytkownika.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KMiBM_K02, KMiBM_K03, KMiBM_K04, KMiBM_K06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2026-02-05T08:43:28+01:00</dcterms:created>
  <dcterms:modified xsi:type="dcterms:W3CDTF">2026-02-05T08:43:28+01:00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