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
b) laboratorium - 8 godz. ;
c) konsultacje - 9 godz.;
2. Praca własna studenta – 35 godzin, w tym:
a)	 20 godz. – bieżące przygotowywanie się studenta do ćwiczeń laboratoryjnych, studia literaturowe,
b)	 15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kontaktowych- 25.,  w tym: 
a) wykład -8 godz. ;
b) laboratorium - 8 godz. ;
c) konsultacje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8 godz.
2) 22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1150-MB000-IZP-0223_W02: </w:t>
      </w:r>
    </w:p>
    <w:p>
      <w:pPr/>
      <w:r>
        <w:rPr/>
        <w:t xml:space="preserve">Posiada wiedzę nt. posługiwania się środowiskiem programowania obiektowego.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2026-09-30T21:30:13+02:00</dcterms:created>
  <dcterms:modified xsi:type="dcterms:W3CDTF">2026-09-30T21:30:13+02:00</dcterms:modified>
</cp:coreProperties>
</file>

<file path=docProps/custom.xml><?xml version="1.0" encoding="utf-8"?>
<Properties xmlns="http://schemas.openxmlformats.org/officeDocument/2006/custom-properties" xmlns:vt="http://schemas.openxmlformats.org/officeDocument/2006/docPropsVTypes"/>
</file>