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wykorzystywania wszystkich wiadomości poznanych podczas wykładu w praktycznym sporządzaniu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dwóch szkiców na podstawie otrzymanych części maszynowych –tematy indywidualne,
Odwzorowanie w rzutach prostokątnych (na brystolu) i zwymiarowanie  podstawy łożyska oczkowego – wykonanie tuszem w domu.
Wykonanie rysunków (na brystolu) na podstawie wcześniej wykonanych szkiców. 
Wykonanie (na brystolu) rysunku śruby i nakrętki – tematy indywidualne. Wykonanie (na brystolu) rysunku zestawieniowego połączenia gwintowego omówionego podczas zajęć walcowego – tematy indywidualne.
Wykonanie (na brystolu) rysunku koła zębatego walcowego – tematy indywidualne.
Wykonanie rysunku złożeniowego, rysunków wykonawczych i specyfikacji części prostego zespołu maszynowego (na kalce technicznej lub brystolu wykonanie w tuszu lub ołówku).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 poprawiane  i oceniane na każdych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1150-MB000-IZP-0117_U2: </w:t>
      </w:r>
    </w:p>
    <w:p>
      <w:pPr/>
      <w:r>
        <w:rPr/>
        <w:t xml:space="preserve">Ma praktyczną umiejętność dotyczącą przedstawiania i wymiarowania łączników i połączeń rozłącznych i nierozłącznych.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1150-MB000-IZP-0117_K1: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2026-10-21T17:22:36+02:00</dcterms:created>
  <dcterms:modified xsi:type="dcterms:W3CDTF">2026-10-21T17:22:36+02:00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