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Wprowadzanie do systemów mikroprocesorowych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Szulim, dr hab. Jędrzej Mączak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1150-00000-ISP-0223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w tym:
a) wykład -15 godz.;
b) laboratorium- 15 godz.;
c) konsultacje - 2 godz.;
2. Praca własna studenta – 25 godzin, w tym:
a)	15 godz. – bieżące przygotowywanie się do laboratoriów i wykładów (analiza literatury),
b)	5 godz. – realizacja zadań domowych,
c)	5 godz. - przygotowywanie się do kolokwium ,
3) RAZEM – 57 godzin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 punktu ECTS - 32 godziny w tym:
a) wykład -15godz.;
b) laboratorium- 15 godz.;
c) konsultacje - 2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punktu ECTS - 30 godz., w tym:
a) 15 godz. - ćwiczenia  laboratoryjne,
b) 10 godz. – przygotowywanie się do ćwiczeń laboratoryjnych,
c) 5 godz. - realizacja zadań domowych.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języka programowania C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zasad programowania oraz architektur oprogramowania sterowników stosowanych w układach mechatronicznych.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Wybrane architektury mikroprocesorów. Zasada działania i programowania układów mikroprocesorowych. Układy licznikowe w systemach wbudowanych. Praca z przetwornikami A/C i C/A oraz peryferiami analogowymi. Porty komunikacyjne UART, CAN. Tworzenie prostych interfejsów użytkownika. Współczesne narzędzia wspomagające pracę programisty. 
Laboratorium: Środowisko programistyczne i sprzęt - wprowadzenie do narzędzi. Konfiguracja mikrokontrolera - wprowadzenie do pracy na rejestrach. Porty wejścia-wyjścia. Liczniki. Porty komunikacyjne. Przetworniki A/C. Wprowadzenie do przerwań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wykonanych przez studentów w ramach prac domowych programów komputerowych i/lub kolokwia. 
Laboratorium: Sprawdziany uzyskanej wiedzy (wejściówki), ocena jakości oprogramowania napisanego podczas zajęć. Ocena końcowa z laboratorium jest średnią oceną ze wszystkich ćwiczeń. 
Ocena łączna: średnia ocena z wykładu i laboratorium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pomocnicze umieszczone na stronie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Materiały dostępne w intranecie po zalogowaniu. Login i hasło studenci otrzymają na pierwszych zajęciach.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1150-00000-ISP-0223_W1: </w:t>
      </w:r>
    </w:p>
    <w:p>
      <w:pPr/>
      <w:r>
        <w:rPr/>
        <w:t xml:space="preserve">Student posiada podstawową wiedzę na temat elementów składowych mikrokontrolera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wiedzy odbywa się w formie pisemnej poprzez odpowiedź na postawione pytanie przedmiotowe. Weryfikacja wiedzy odbywa się także w formie pisemnej na początku każdych zajęć laboratoryjnych gdzie student musi rozwiązać postawione przed nim zadanie.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1150-00000-ISP-0223_W2: </w:t>
      </w:r>
    </w:p>
    <w:p>
      <w:pPr/>
      <w:r>
        <w:rPr/>
        <w:t xml:space="preserve">Student rozumie istotę działania mikrokontrolera oraz przepływ informacji jaki w nim następuje.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wiedzy odbywa się w formie pisemnej poprzez odpowiedź na postawione pytanie przedmiotowe. Weryfikacja wiedzy odbywa się także w formie pisemnej na początku każdych zajęć laboratoryjnych gdzie student musi rozwiązać postawione przed nim zadanie.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KMchtr_W06, KMchtr_W19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1150-00000-ISP-0223_W3: </w:t>
      </w:r>
    </w:p>
    <w:p>
      <w:pPr/>
      <w:r>
        <w:rPr/>
        <w:t xml:space="preserve">Student posiada podstawową wiedzę z zakresu narzędzi inżynierskich służących do 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wiedzy studenta odbywa się na zajęciach laboratoryjnych poprzez ocenę postępu realizacji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KMchtr_W07, KMchtr_W21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1150-00000-ISP-0223_U1: </w:t>
      </w:r>
    </w:p>
    <w:p>
      <w:pPr/>
      <w:r>
        <w:rPr/>
        <w:t xml:space="preserve">Student potrafi zrealizować postawione przed nim zadanie w postaci oprogramowania wybranego modułu peryferyjnego mikrokontrolera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nabytych umiejętności studenta odbywa się na zajęciach laboratoryjnych podczas ich realizacji. Podstawą zaliczenia danego ćwiczenia jest poprawne sporządzenie programu zgodnie z instrukcją dołączoną do ćwiczenia.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KMchtr_U11, KMchtr_U22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1150-00000-ISP-0223_U2: </w:t>
      </w:r>
    </w:p>
    <w:p>
      <w:pPr/>
      <w:r>
        <w:rPr/>
        <w:t xml:space="preserve">Student potrafi posługiwać się wybranymi narzędziami inżynierskimi służącymi do programowania oraz obserwacji wykonywania programu przez mikrokontroler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umiejętności odbywa się na zajęciach laboratoryjnych poprzez realizacje zadań wskazanych w instrukcji dołączonej do każdego ćwiczenia.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KMchtr_U07, KMchtr_U10, KMchtr_U20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1150-00000-ISP-0223_U3: </w:t>
      </w:r>
    </w:p>
    <w:p>
      <w:pPr/>
      <w:r>
        <w:rPr/>
        <w:t xml:space="preserve">Student potrafi prezentować wyniki oraz formułować wnioski płynące z przeprowadzonego ćwiczenia.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Umiejętność formułowania prawidłowych wniosków oceniana jest poprzez indywidualną rozmowę przy stanowisku komputerowym gdzie student ma szansę zaprezentować otrzymane wyniki oraz wnioski płynące z obserwacji działania programu.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2025-07-08T03:24:54+02:00</dcterms:created>
  <dcterms:modified xsi:type="dcterms:W3CDTF">2025-07-08T03:24:54+02:00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