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projekt – 15 godz.,
c) konsultacje – 3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punkty ECTS – 50 godzin, w tym:
a) wykład – 30 godz.,
b) projekt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*Zajęcia projektowe*
1. Wyznaczanie prędkości i przyspieszeń wybranych punktów mechanizmów płaskich metodami wykreślnymi oraz metodą analityczną.
2. Dynamika maszyn. Redukcja mas i sił oraz dobór koła zamachowego.
3. Charakterystyki czasowe i częstotliwościowe układów automatyki. Schematy blokowe.
4. Badanie stabilności układów sterowania z regulatorem PID.</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
Szczegółowy opis dostępny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1150-00000-ISP-0244_W1 :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charakterystyki kierunkowe: </w:t>
      </w:r>
      <w:r>
        <w:rPr/>
        <w:t xml:space="preserve">KMChtr_W01, KMChtr_W03, KMchtr_W13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charakterystyki kierunkowe: </w:t>
      </w:r>
      <w:r>
        <w:rPr/>
        <w:t xml:space="preserve">KMchtr_U01, KMchtr_U03, KMchtr_U11, KMchtr_U12,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2026-10-21T14:10:54+02:00</dcterms:created>
  <dcterms:modified xsi:type="dcterms:W3CDTF">2026-10-21T14:10:54+02:00</dcterms:modified>
</cp:coreProperties>
</file>

<file path=docProps/custom.xml><?xml version="1.0" encoding="utf-8"?>
<Properties xmlns="http://schemas.openxmlformats.org/officeDocument/2006/custom-properties" xmlns:vt="http://schemas.openxmlformats.org/officeDocument/2006/docPropsVTypes"/>
</file>