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keepNext w:val="1"/>
        <w:spacing w:after="10"/>
      </w:pPr>
      <w:r>
        <w:rPr>
          <w:b/>
          <w:bCs/>
        </w:rPr>
        <w:t xml:space="preserve">Nazwa przedmiotu: </w:t>
      </w:r>
    </w:p>
    <w:p>
      <w:pPr>
        <w:spacing w:before="20" w:after="190"/>
      </w:pPr>
      <w:r>
        <w:rPr/>
        <w:t xml:space="preserve">Praca przejściowa</w:t>
      </w:r>
    </w:p>
    <w:p>
      <w:pPr>
        <w:keepNext w:val="1"/>
        <w:spacing w:after="10"/>
      </w:pPr>
      <w:r>
        <w:rPr>
          <w:b/>
          <w:bCs/>
        </w:rPr>
        <w:t xml:space="preserve">Koordynator przedmiotu: </w:t>
      </w:r>
    </w:p>
    <w:p>
      <w:pPr>
        <w:spacing w:before="20" w:after="190"/>
      </w:pPr>
      <w:r>
        <w:rPr/>
        <w:t xml:space="preserve">Prowadzący pracę przejściową</w:t>
      </w:r>
    </w:p>
    <w:p>
      <w:pPr>
        <w:keepNext w:val="1"/>
        <w:spacing w:after="10"/>
      </w:pPr>
      <w:r>
        <w:rPr>
          <w:b/>
          <w:bCs/>
        </w:rPr>
        <w:t xml:space="preserve">Status przedmiotu: </w:t>
      </w:r>
    </w:p>
    <w:p>
      <w:pPr>
        <w:spacing w:before="20" w:after="190"/>
      </w:pPr>
      <w:r>
        <w:rPr/>
        <w:t xml:space="preserve">Obowiązkowy</w:t>
      </w:r>
    </w:p>
    <w:p>
      <w:pPr>
        <w:keepNext w:val="1"/>
        <w:spacing w:after="10"/>
      </w:pPr>
      <w:r>
        <w:rPr>
          <w:b/>
          <w:bCs/>
        </w:rPr>
        <w:t xml:space="preserve">Poziom kształcenia: </w:t>
      </w:r>
    </w:p>
    <w:p>
      <w:pPr>
        <w:spacing w:before="20" w:after="190"/>
      </w:pPr>
      <w:r>
        <w:rPr/>
        <w:t xml:space="preserve">Studia I stopnia</w:t>
      </w:r>
    </w:p>
    <w:p>
      <w:pPr>
        <w:keepNext w:val="1"/>
        <w:spacing w:after="10"/>
      </w:pPr>
      <w:r>
        <w:rPr>
          <w:b/>
          <w:bCs/>
        </w:rPr>
        <w:t xml:space="preserve">Program: </w:t>
      </w:r>
    </w:p>
    <w:p>
      <w:pPr>
        <w:spacing w:before="20" w:after="190"/>
      </w:pPr>
      <w:r>
        <w:rPr/>
        <w:t xml:space="preserve">Mechatronika Pojazdów i Maszyn Roboczych</w:t>
      </w:r>
    </w:p>
    <w:p>
      <w:pPr>
        <w:keepNext w:val="1"/>
        <w:spacing w:after="10"/>
      </w:pPr>
      <w:r>
        <w:rPr>
          <w:b/>
          <w:bCs/>
        </w:rPr>
        <w:t xml:space="preserve">Grupa przedmiotów: </w:t>
      </w:r>
    </w:p>
    <w:p>
      <w:pPr>
        <w:spacing w:before="20" w:after="190"/>
      </w:pPr>
      <w:r>
        <w:rPr/>
        <w:t xml:space="preserve">Obowiązkowe</w:t>
      </w:r>
    </w:p>
    <w:p>
      <w:pPr>
        <w:keepNext w:val="1"/>
        <w:spacing w:after="10"/>
      </w:pPr>
      <w:r>
        <w:rPr>
          <w:b/>
          <w:bCs/>
        </w:rPr>
        <w:t xml:space="preserve">Kod przedmiotu: </w:t>
      </w:r>
    </w:p>
    <w:p>
      <w:pPr>
        <w:spacing w:before="20" w:after="190"/>
      </w:pPr>
      <w:r>
        <w:rPr/>
        <w:t xml:space="preserve">1150-MT000-ISP-0328</w:t>
      </w:r>
    </w:p>
    <w:p>
      <w:pPr>
        <w:keepNext w:val="1"/>
        <w:spacing w:after="10"/>
      </w:pPr>
      <w:r>
        <w:rPr>
          <w:b/>
          <w:bCs/>
        </w:rPr>
        <w:t xml:space="preserve">Semestr nominalny: </w:t>
      </w:r>
    </w:p>
    <w:p>
      <w:pPr>
        <w:spacing w:before="20" w:after="190"/>
      </w:pPr>
      <w:r>
        <w:rPr/>
        <w:t xml:space="preserve">6 / rok ak. 2021/2022</w:t>
      </w:r>
    </w:p>
    <w:p>
      <w:pPr>
        <w:keepNext w:val="1"/>
        <w:spacing w:after="10"/>
      </w:pPr>
      <w:r>
        <w:rPr>
          <w:b/>
          <w:bCs/>
        </w:rPr>
        <w:t xml:space="preserve">Liczba punktów ECTS: </w:t>
      </w:r>
    </w:p>
    <w:p>
      <w:pPr>
        <w:spacing w:before="20" w:after="190"/>
      </w:pPr>
      <w:r>
        <w:rPr/>
        <w:t xml:space="preserve">4</w:t>
      </w:r>
    </w:p>
    <w:p>
      <w:pPr>
        <w:keepNext w:val="1"/>
        <w:spacing w:after="10"/>
      </w:pPr>
      <w:r>
        <w:rPr>
          <w:b/>
          <w:bCs/>
        </w:rPr>
        <w:t xml:space="preserve">Liczba godzin pracy studenta związanych z osiągnięciem efektów uczenia się: </w:t>
      </w:r>
    </w:p>
    <w:p>
      <w:pPr>
        <w:spacing w:before="20" w:after="190"/>
      </w:pPr>
      <w:r>
        <w:rPr/>
        <w:t xml:space="preserve">1) Liczba godzin kontaktowych – 75 godz. projekt.
2) Praca własna studenta – 35 godz., w tym: 
a) studia literaturowe: 10 godz.;
b) praca nad przygotowaniem projektu: 25 godz.
3) RAZEM – 110 godz.
</w:t>
      </w:r>
    </w:p>
    <w:p>
      <w:pPr>
        <w:keepNext w:val="1"/>
        <w:spacing w:after="10"/>
      </w:pPr>
      <w:r>
        <w:rPr>
          <w:b/>
          <w:bCs/>
        </w:rPr>
        <w:t xml:space="preserve">Liczba punktów ECTS na zajęciach wymagających bezpośredniego udziału nauczycieli akademickich: </w:t>
      </w:r>
    </w:p>
    <w:p>
      <w:pPr>
        <w:spacing w:before="20" w:after="190"/>
      </w:pPr>
      <w:r>
        <w:rPr/>
        <w:t xml:space="preserve"> 3 punkty ECTS – 75 godz. projekt </w:t>
      </w:r>
    </w:p>
    <w:p>
      <w:pPr>
        <w:keepNext w:val="1"/>
        <w:spacing w:after="10"/>
      </w:pPr>
      <w:r>
        <w:rPr>
          <w:b/>
          <w:bCs/>
        </w:rPr>
        <w:t xml:space="preserve">Język prowadzenia zajęć: </w:t>
      </w:r>
    </w:p>
    <w:p>
      <w:pPr>
        <w:spacing w:before="20" w:after="190"/>
      </w:pPr>
      <w:r>
        <w:rPr/>
        <w:t xml:space="preserve">polski</w:t>
      </w:r>
    </w:p>
    <w:p>
      <w:pPr>
        <w:keepNext w:val="1"/>
        <w:spacing w:after="10"/>
      </w:pPr>
      <w:r>
        <w:rPr>
          <w:b/>
          <w:bCs/>
        </w:rPr>
        <w:t xml:space="preserve">Liczba punktów ECTS, którą student uzyskuje w ramach zajęć o charakterze praktycznym: </w:t>
      </w:r>
    </w:p>
    <w:p>
      <w:pPr>
        <w:spacing w:before="20" w:after="190"/>
      </w:pPr>
      <w:r>
        <w:rPr/>
        <w:t xml:space="preserve">4 punkty ECTS - 100 godzin pracy studenta, w tym: 
a) udział w ćwiczeniach projektowych - 75 godz.;
b) praca nad przygotowaniem projektu – 25 godz.
</w:t>
      </w:r>
    </w:p>
    <w:p>
      <w:pPr>
        <w:keepNext w:val="1"/>
        <w:spacing w:after="10"/>
      </w:pPr>
      <w:r>
        <w:rPr>
          <w:b/>
          <w:bCs/>
        </w:rPr>
        <w:t xml:space="preserve">Formy zajęć i ich wymiar w semestrze: </w:t>
      </w:r>
    </w:p>
    <w:tbl>
      <w:tblGrid>
        <w:gridCol w:w="2200" w:type="dxa"/>
        <w:gridCol w:w="2200" w:type="dxa"/>
      </w:tblGrid>
      <w:tblPr>
        <w:tblW w:w="2500" w:type="auto"/>
        <w:tblBorders>
          <w:top w:val="single" w:sz="0" w:color="FFFFFF"/>
          <w:left w:val="single" w:sz="0" w:color="FFFFFF"/>
          <w:right w:val="single" w:sz="0" w:color="FFFFFF"/>
          <w:bottom w:val="single" w:sz="0" w:color="FFFFFF"/>
          <w:insideH w:val="single" w:sz="0" w:color="FFFFFF"/>
          <w:insideV w:val="single" w:sz="0" w:color="FFFFFF"/>
        </w:tblBorders>
      </w:tblP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Wykład: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Ćwiczenia: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Laboratorium: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Projekt: </w:t>
            </w:r>
          </w:p>
        </w:tc>
        <w:tc>
          <w:tcPr>
            <w:tcW w:w="2200" w:type="dxa"/>
          </w:tcPr>
          <w:p>
            <w:pPr/>
            <w:r>
              <w:rPr/>
              <w:t xml:space="preserve">75h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Lekcje komputerowe: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</w:tbl>
    <w:p/>
    <w:p>
      <w:pPr>
        <w:keepNext w:val="1"/>
        <w:spacing w:after="10"/>
      </w:pPr>
      <w:r>
        <w:rPr>
          <w:b/>
          <w:bCs/>
        </w:rPr>
        <w:t xml:space="preserve">Wymagania wstępne: </w:t>
      </w:r>
    </w:p>
    <w:p>
      <w:pPr>
        <w:spacing w:before="20" w:after="190"/>
      </w:pPr>
      <w:r>
        <w:rPr/>
        <w:t xml:space="preserve">-</w:t>
      </w:r>
    </w:p>
    <w:p>
      <w:pPr>
        <w:keepNext w:val="1"/>
        <w:spacing w:after="10"/>
      </w:pPr>
      <w:r>
        <w:rPr>
          <w:b/>
          <w:bCs/>
        </w:rPr>
        <w:t xml:space="preserve">Limit liczby studentów: </w:t>
      </w:r>
    </w:p>
    <w:p>
      <w:pPr>
        <w:spacing w:before="20" w:after="190"/>
      </w:pPr>
      <w:r>
        <w:rPr/>
        <w:t xml:space="preserve">-</w:t>
      </w:r>
    </w:p>
    <w:p>
      <w:pPr>
        <w:keepNext w:val="1"/>
        <w:spacing w:after="10"/>
      </w:pPr>
      <w:r>
        <w:rPr>
          <w:b/>
          <w:bCs/>
        </w:rPr>
        <w:t xml:space="preserve">Cel przedmiotu: </w:t>
      </w:r>
    </w:p>
    <w:p>
      <w:pPr>
        <w:spacing w:before="20" w:after="190"/>
      </w:pPr>
      <w:r>
        <w:rPr/>
        <w:t xml:space="preserve">Celem przedmiotu jest opracowanie przez studenta pracy przejściowej</w:t>
      </w:r>
    </w:p>
    <w:p>
      <w:pPr>
        <w:keepNext w:val="1"/>
        <w:spacing w:after="10"/>
      </w:pPr>
      <w:r>
        <w:rPr>
          <w:b/>
          <w:bCs/>
        </w:rPr>
        <w:t xml:space="preserve">Treści kształcenia: </w:t>
      </w:r>
    </w:p>
    <w:p>
      <w:pPr>
        <w:spacing w:before="20" w:after="190"/>
      </w:pPr>
      <w:r>
        <w:rPr/>
        <w:t xml:space="preserve">Przedmiot obejmuje pracę własną studenta w zakresie niezbędnym do realizacji pracy przejściowej określonym w porozumieniu z promotorem pracy. Tematyka pracy przejściowej powinna być powiązana z realizowanym kierunkiem studiów. Powinna ona dotyczyć zagadnień ogólno-inżynierskich i stwarzać możliwości wykorzystania dotychczas zdobytej wiedzy technicznej</w:t>
      </w:r>
    </w:p>
    <w:p>
      <w:pPr>
        <w:keepNext w:val="1"/>
        <w:spacing w:after="10"/>
      </w:pPr>
      <w:r>
        <w:rPr>
          <w:b/>
          <w:bCs/>
        </w:rPr>
        <w:t xml:space="preserve">Metody oceny: </w:t>
      </w:r>
    </w:p>
    <w:p>
      <w:pPr>
        <w:spacing w:before="20" w:after="190"/>
      </w:pPr>
      <w:r>
        <w:rPr/>
        <w:t xml:space="preserve">Zaliczany jest na podstawie zrealizowanej pracy przejściowej.</w:t>
      </w:r>
    </w:p>
    <w:p>
      <w:pPr>
        <w:keepNext w:val="1"/>
        <w:spacing w:after="10"/>
      </w:pPr>
      <w:r>
        <w:rPr>
          <w:b/>
          <w:bCs/>
        </w:rPr>
        <w:t xml:space="preserve">Egzamin: </w:t>
      </w:r>
    </w:p>
    <w:p>
      <w:pPr>
        <w:spacing w:before="20" w:after="190"/>
      </w:pPr>
      <w:r>
        <w:rPr/>
        <w:t xml:space="preserve">nie</w:t>
      </w:r>
    </w:p>
    <w:p>
      <w:pPr>
        <w:keepNext w:val="1"/>
        <w:spacing w:after="10"/>
      </w:pPr>
      <w:r>
        <w:rPr>
          <w:b/>
          <w:bCs/>
        </w:rPr>
        <w:t xml:space="preserve">Literatura: </w:t>
      </w:r>
    </w:p>
    <w:p>
      <w:pPr>
        <w:spacing w:before="20" w:after="190"/>
      </w:pPr>
      <w:r>
        <w:rPr/>
        <w:t xml:space="preserve">Literatura dobrana przez studenta w porozumieniu z promotorem pracy z zakresu związanego z tematem pracy przejściowej</w:t>
      </w:r>
    </w:p>
    <w:p>
      <w:pPr>
        <w:keepNext w:val="1"/>
        <w:spacing w:after="10"/>
      </w:pPr>
      <w:r>
        <w:rPr>
          <w:b/>
          <w:bCs/>
        </w:rPr>
        <w:t xml:space="preserve">Witryna www przedmiotu: </w:t>
      </w:r>
    </w:p>
    <w:p>
      <w:pPr>
        <w:spacing w:before="20" w:after="190"/>
      </w:pPr>
      <w:r>
        <w:rPr/>
        <w:t xml:space="preserve">-</w:t>
      </w:r>
    </w:p>
    <w:p>
      <w:pPr>
        <w:keepNext w:val="1"/>
        <w:spacing w:after="10"/>
      </w:pPr>
      <w:r>
        <w:rPr>
          <w:b/>
          <w:bCs/>
        </w:rPr>
        <w:t xml:space="preserve">Uwagi: </w:t>
      </w:r>
    </w:p>
    <w:p>
      <w:pPr>
        <w:spacing w:before="20" w:after="190"/>
      </w:pPr>
      <w:r>
        <w:rPr/>
        <w:t xml:space="preserve">-</w:t>
      </w:r>
    </w:p>
    <w:p>
      <w:pPr>
        <w:pStyle w:val="Heading2"/>
      </w:pPr>
      <w:bookmarkStart w:id="1" w:name="_Toc1"/>
      <w:r>
        <w:t>Charakterystyki przedmiotowe</w:t>
      </w:r>
      <w:bookmarkEnd w:id="1"/>
    </w:p>
    <w:p>
      <w:pPr>
        <w:pStyle w:val="Heading3"/>
      </w:pPr>
      <w:bookmarkStart w:id="2" w:name="_Toc2"/>
      <w:r>
        <w:t>Profil ogólnoakademicki - wiedza</w:t>
      </w:r>
      <w:bookmarkEnd w:id="2"/>
    </w:p>
    <w:p>
      <w:pPr>
        <w:keepNext w:val="1"/>
        <w:spacing w:after="10"/>
      </w:pPr>
      <w:r>
        <w:rPr>
          <w:b/>
          <w:bCs/>
        </w:rPr>
        <w:t xml:space="preserve">Charakterystyka 1150-MT000-ISP-0328_W1: </w:t>
      </w:r>
    </w:p>
    <w:p>
      <w:pPr/>
      <w:r>
        <w:rPr/>
        <w:t xml:space="preserve">Posiada wiedzę jak pozyskiwać dane z literatury i baz danych; potrafi ocenić działanie zasad i praw dotyczących ochrony własności intelektualnej.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Praca przejściowa</w:t>
      </w:r>
    </w:p>
    <w:p>
      <w:pPr>
        <w:spacing w:before="20" w:after="190"/>
      </w:pPr>
      <w:r>
        <w:rPr>
          <w:b/>
          <w:bCs/>
        </w:rPr>
        <w:t xml:space="preserve">Powiązane charakterystyki kierunkowe: </w:t>
      </w:r>
      <w:r>
        <w:rPr/>
        <w:t xml:space="preserve">KMchtr_W22</w:t>
      </w:r>
    </w:p>
    <w:p>
      <w:pPr>
        <w:spacing w:before="20" w:after="190"/>
      </w:pPr>
      <w:r>
        <w:rPr>
          <w:b/>
          <w:bCs/>
        </w:rPr>
        <w:t xml:space="preserve">Powiązane charakterystyki obszarowe: </w:t>
      </w:r>
      <w:r>
        <w:rPr/>
        <w:t xml:space="preserve"/>
      </w:r>
    </w:p>
    <w:p>
      <w:pPr>
        <w:pStyle w:val="Heading3"/>
      </w:pPr>
      <w:bookmarkStart w:id="3" w:name="_Toc3"/>
      <w:r>
        <w:t>Profil ogólnoakademicki - umiejętności</w:t>
      </w:r>
      <w:bookmarkEnd w:id="3"/>
    </w:p>
    <w:p>
      <w:pPr>
        <w:keepNext w:val="1"/>
        <w:spacing w:after="10"/>
      </w:pPr>
      <w:r>
        <w:rPr>
          <w:b/>
          <w:bCs/>
        </w:rPr>
        <w:t xml:space="preserve">Charakterystyka 1150-MT000-ISP-0328_U1: </w:t>
      </w:r>
    </w:p>
    <w:p>
      <w:pPr/>
      <w:r>
        <w:rPr/>
        <w:t xml:space="preserve">Potrafi zaprojektować proste urządzenie, system lub proces, używając właściwych metod, technik i narzędzi z uwzględnieniem zastosowania odpowiednich materiałów i technologii wykonania.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Praca przejściowa</w:t>
      </w:r>
    </w:p>
    <w:p>
      <w:pPr>
        <w:spacing w:before="20" w:after="190"/>
      </w:pPr>
      <w:r>
        <w:rPr>
          <w:b/>
          <w:bCs/>
        </w:rPr>
        <w:t xml:space="preserve">Powiązane charakterystyki kierunkowe: </w:t>
      </w:r>
      <w:r>
        <w:rPr/>
        <w:t xml:space="preserve">KMchtr_U11, KMchtr_U14, KMchtr_U21</w:t>
      </w:r>
    </w:p>
    <w:p>
      <w:pPr>
        <w:spacing w:before="20" w:after="190"/>
      </w:pPr>
      <w:r>
        <w:rPr>
          <w:b/>
          <w:bCs/>
        </w:rPr>
        <w:t xml:space="preserve">Powiązane charakterystyki obszarowe: </w:t>
      </w: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Charakterystyka 1150-MT000-ISP-0328_U2: </w:t>
      </w:r>
    </w:p>
    <w:p>
      <w:pPr/>
      <w:r>
        <w:rPr/>
        <w:t xml:space="preserve">Potrafi dokonać wstępnej analizy ekonomicznej projektowanych rozwiązań konstrukcyjnych lub procesów.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Praca przejściowa</w:t>
      </w:r>
    </w:p>
    <w:p>
      <w:pPr>
        <w:spacing w:before="20" w:after="190"/>
      </w:pPr>
      <w:r>
        <w:rPr>
          <w:b/>
          <w:bCs/>
        </w:rPr>
        <w:t xml:space="preserve">Powiązane charakterystyki kierunkowe: </w:t>
      </w:r>
      <w:r>
        <w:rPr/>
        <w:t xml:space="preserve">KMchtr_U09</w:t>
      </w:r>
    </w:p>
    <w:p>
      <w:pPr>
        <w:spacing w:before="20" w:after="190"/>
      </w:pPr>
      <w:r>
        <w:rPr>
          <w:b/>
          <w:bCs/>
        </w:rPr>
        <w:t xml:space="preserve">Powiązane charakterystyki obszarowe: </w:t>
      </w: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Charakterystyka 1150-MT000-ISP-0328_U3: </w:t>
      </w:r>
    </w:p>
    <w:p>
      <w:pPr/>
      <w:r>
        <w:rPr/>
        <w:t xml:space="preserve">Potrafi pozyskiwać dane z literatury i baz danych; potrafi ocenić działanie zasad i praw dotyczących ochrony własności intelektualnej oraz potrafi przygotować przejrzyste pisemne opracowanie i lub prezentację, rozważając wady i zalety różnych rozwiązań.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Praca przejściowa</w:t>
      </w:r>
    </w:p>
    <w:p>
      <w:pPr>
        <w:spacing w:before="20" w:after="190"/>
      </w:pPr>
      <w:r>
        <w:rPr>
          <w:b/>
          <w:bCs/>
        </w:rPr>
        <w:t xml:space="preserve">Powiązane charakterystyki kierunkowe: </w:t>
      </w:r>
      <w:r>
        <w:rPr/>
        <w:t xml:space="preserve">KMchtr_U01, KMchtr_U03, KMchtr_U04</w:t>
      </w:r>
    </w:p>
    <w:p>
      <w:pPr>
        <w:spacing w:before="20" w:after="190"/>
      </w:pPr>
      <w:r>
        <w:rPr>
          <w:b/>
          <w:bCs/>
        </w:rPr>
        <w:t xml:space="preserve">Powiązane charakterystyki obszarowe: </w:t>
      </w:r>
      <w:r>
        <w:rPr/>
        <w:t xml:space="preserve"/>
      </w:r>
    </w:p>
    <w:p>
      <w:pPr>
        <w:pStyle w:val="Heading3"/>
      </w:pPr>
      <w:bookmarkStart w:id="4" w:name="_Toc4"/>
      <w:r>
        <w:t>Profil ogólnoakademicki - kompetencje społeczne</w:t>
      </w:r>
      <w:bookmarkEnd w:id="4"/>
    </w:p>
    <w:p>
      <w:pPr>
        <w:keepNext w:val="1"/>
        <w:spacing w:after="10"/>
      </w:pPr>
      <w:r>
        <w:rPr>
          <w:b/>
          <w:bCs/>
        </w:rPr>
        <w:t xml:space="preserve">Charakterystyka 1150-MT000-ISP-0328_K1: </w:t>
      </w:r>
    </w:p>
    <w:p>
      <w:pPr/>
      <w:r>
        <w:rPr/>
        <w:t xml:space="preserve">Ma świadomość roli absolwenta uczelni technicznej w przekazywaniu szerszemu gremium osiągnięć mechatroniki pojazdów i maszyn roboczych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Praca przejściowa</w:t>
      </w:r>
    </w:p>
    <w:p>
      <w:pPr>
        <w:spacing w:before="20" w:after="190"/>
      </w:pPr>
      <w:r>
        <w:rPr>
          <w:b/>
          <w:bCs/>
        </w:rPr>
        <w:t xml:space="preserve">Powiązane charakterystyki kierunkowe: </w:t>
      </w:r>
      <w:r>
        <w:rPr/>
        <w:t xml:space="preserve">KMchtr_K02, KMchtr_K04, KMchtr_K06</w:t>
      </w:r>
    </w:p>
    <w:p>
      <w:pPr>
        <w:spacing w:before="20" w:after="190"/>
      </w:pPr>
      <w:r>
        <w:rPr>
          <w:b/>
          <w:bCs/>
        </w:rPr>
        <w:t xml:space="preserve">Powiązane charakterystyki obszarowe: </w:t>
      </w:r>
      <w:r>
        <w:rPr/>
        <w:t xml:space="preserve"/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2">
    <w:link w:val="Heading2Char"/>
    <w:name w:val="heading 2"/>
    <w:basedOn w:val="Normal"/>
    <w:pPr>
      <w:spacing w:before="40" w:after="190"/>
    </w:pPr>
    <w:rPr>
      <w:sz w:val="34"/>
      <w:szCs w:val="34"/>
      <w:b/>
      <w:bCs/>
    </w:rPr>
  </w:style>
  <w:style w:type="paragraph" w:styleId="Heading3">
    <w:link w:val="Heading3Char"/>
    <w:name w:val="heading 3"/>
    <w:basedOn w:val="Normal"/>
    <w:pPr>
      <w:spacing w:before="40" w:after="190"/>
    </w:pPr>
    <w:rPr>
      <w:sz w:val="26"/>
      <w:szCs w:val="26"/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2026-09-11T16:03:14+02:00</dcterms:created>
  <dcterms:modified xsi:type="dcterms:W3CDTF">2026-09-11T16:03:14+02:00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