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1180-MB000-ISP-0401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32,w tym:
a) wykład - 30 godz.;
b) konsultacje - 2 godz.;
2) Praca własna studenta - czytanie wskazanej literatury, przygotowanie do zajęć oraz sprawdzianu końcowego 18 godz.
3) RAZEM – 50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– liczba godzin kontaktowych - 32, w tym:
a) wykład 30 godz.;
b) konsultacje 20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funkcjonowania gospodarki rynkowej. Zapoznanie się z podstawowymi kategoriami i mechanizmami ekonomicznymi. Zdobycie umiejętności w zakresie interpretowania i oceny zjawisk ekonomiczno-społecznych.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i zakres ekonomii. Zasoby a potrzeby ludzkie.  Podstawowe kategorie ekonomiczne: popyt, podaż, cena równowagi, elastyczność popytu i podaży. Zjawisko konkurencji, struktury rynkowe funkcjonujące w gospodarce.  Zysk, przychód, koszty w przedsiębiorstwie. Rynek czynników produkcji. Rynek kapitałowy. Zjawisko bezrobocia i inflacji. Rola wzrostu i rozwoju gospodarczego. Ekonomiczna rola państwa w gospodarce.  Integracja gospodarcza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Wybrane rozdziały z: 1. red. S. Marciniak: Podstawy makro – i mikroekonomii,Wydawnictwo Naukowe PWN, Warszawa 2013. 2. red. R. Milewski: Podstawy ekonomii, Wydawnictwo Naukowe PWN,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1180-MB000-ISP-0401_W1: </w:t>
      </w:r>
    </w:p>
    <w:p>
      <w:pPr/>
      <w:r>
        <w:rPr/>
        <w:t xml:space="preserve">Zna ogólne zasady tworzenia i rozwoju form indywidualnej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1180-MB000-ISP-0401_U1: </w:t>
      </w:r>
    </w:p>
    <w:p>
      <w:pPr/>
      <w:r>
        <w:rPr/>
        <w:t xml:space="preserve">Student na podstawie przeprowadzonej analizy literatury potrafi zinterpretować i ocenić zjawiska ekonomiczno-społeczne.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KMiBM_U19, KMiBM_U24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2026-09-11T18:03:50+02:00</dcterms:created>
  <dcterms:modified xsi:type="dcterms:W3CDTF">2026-09-11T18:03:50+02:00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