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 – 30 godz.;
b) laboratorium – 15 godz.;
c) konsultacje – 1 godz.;
d) kolokwium – 2 godz.;
2) Praca własna studenta – w tym:  55 godzin, w tym:
a)	 10 godz. – bieżące przygotowywanie się studenta do wykładu;
b)	 10 godz. – studia literaturowe;
c)	 10 godz. – przygotowywanie się studenta do kolokwium;
d)	 15 godz. – przygotowywanie się studenta do ćwiczeń;
e)	 10 godz. – wykonanie prac domowych.
3) RAZEM –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– 30 godz.;
b) laboratorium – 15 godz.;
c) konsultacje – 1 godz.;
d) kolokwium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40 godz., w tym:
1) ćwiczenia laboratoryjne – 15 godz.;
2) 15 godz. – przygotowywanie się do ćwiczeń laboratoryjnych;
3) 10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 (wysłuchanie wykładów: PKM i Materiały konstrukcyjne)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z wykorzystanie nowoczesnych materiałów konstrukcyjnych. Umiejętność doboru materiałów konstrukcyjnych i technologii produkcji do przewidywanej skali produkcji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Podstawowe definicje i klasyfikacja nadwozi. Przepisy międzynarodowe, normy i badania dotyczące nadwozi pojazdów samochodowych. Aspekty ekonomiczne budowy nadwozi pojazdów samochodowych. Ergonomia i stawiane wymagania względem przeznaczenia pojazdu. Upakowanie - rozplanowanie i założenia wymiarowe nadwozia. Zagadnienia aerodynamiki w projektowaniu nadwozia pojazdu. Zapewnienie komfortu i bezpieczeństwa biernego kierowcy i pasażerom pojazdu. Budowa struktur nośnych nadwozi pojazdów. Funkcje elementów wyposażenia wewnętrznego. Główne cechy nadwozi samonośnych. Materiały konstrukcyjne do budowy nadwozi pojazdów. Technologie stosowane w budowie nadwozi.
Laboratorium. Prasy i tłoczniki do kształtowania elementów nadwozia. Sposoby łączenia elementów nadwozi. Lakierowanie nadwozi. Metody przetwórstwa termoplastów. Rodzaje przetwórstwa duroplastów..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kolokwium zaliczeniowego.
Laboratorium: Przed rozpoczęciem ćwiczenia sprawdzane jest przygotowanie studentów (tzw. „wejściówka”). Każde ćwiczenie jest zaliczane na podstawie poprawnie wykonanego zadania, przyjętego i ocenionego przez prowadzącego dane ćwiczenie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Gierej J.: Internetowe materiały wykładowe dot. budowy nadwozi – Poradnik.
3.	Zieliński A.: Konstrukcja nadwozi samochodów osobowych i pochodnych. WKŁ 2008.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www.edag.pl/pl/praca-i-kariera/materialy-szkoleniowe.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1150-MBNPO-ISP-0323_W1: </w:t>
      </w:r>
    </w:p>
    <w:p>
      <w:pPr/>
      <w:r>
        <w:rPr/>
        <w:t xml:space="preserve">Ma podbudowaną teoretycznie wiedzę dotyczącą konstrukcji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1150-MBNPO-ISP-0323_W2: </w:t>
      </w:r>
    </w:p>
    <w:p>
      <w:pPr/>
      <w:r>
        <w:rPr/>
        <w:t xml:space="preserve">Ma uporządkowaną wiedzę dotyczącą budowy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1150-MBNPO-ISP-0323_W3: </w:t>
      </w:r>
    </w:p>
    <w:p>
      <w:pPr/>
      <w:r>
        <w:rPr/>
        <w:t xml:space="preserve">Posiada wiedzę o konstrukcji współczesnych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1150-MBNPO-ISP-0323_W4: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1150-MBNPO-ISP-0323_W5: </w:t>
      </w:r>
    </w:p>
    <w:p>
      <w:pPr/>
      <w:r>
        <w:rPr/>
        <w:t xml:space="preserve">Posiada wiedzę nt. zasad planowania budowy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1150-MBNPO-ISP-0323_U1: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1150-MBNPO-ISP-0323_U2: </w:t>
      </w:r>
    </w:p>
    <w:p>
      <w:pPr/>
      <w:r>
        <w:rPr/>
        <w:t xml:space="preserve">Potrafi  ocenić wpływ założeń konstrukcyjnych struktury na klasę i rodzaj nadwozia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1150-MBNPO-ISP-0323_U3: </w:t>
      </w:r>
    </w:p>
    <w:p>
      <w:pPr/>
      <w:r>
        <w:rPr/>
        <w:t xml:space="preserve">Ma świadomość przyjętych wstępnych założeń konstrukcyjnych nadwozia na klasę i rodzaj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1150-MBNPO-ISP-0323_U4: </w:t>
      </w:r>
    </w:p>
    <w:p>
      <w:pPr/>
      <w:r>
        <w:rPr/>
        <w:t xml:space="preserve">Potrafi zaplanować budowę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1150-MBNPO-ISP-0323_K1: </w:t>
      </w:r>
    </w:p>
    <w:p>
      <w:pPr/>
      <w:r>
        <w:rPr/>
        <w:t xml:space="preserve">Potrafi współdziałać i pracować w grupie przy realizacji ćwiczeń laboratoryjnych,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2026-03-22T21:57:04+01:00</dcterms:created>
  <dcterms:modified xsi:type="dcterms:W3CDTF">2026-03-22T21:57:04+01:00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