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1150-MB000-ISP-0305</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 25 godzin, w tym:
a)	13 godz. – bieżące przygotowywanie się do laboratorium i wykładów (analiza literatury),
b)	12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KMiBM_W03, 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charakterystyki kierunkowe: </w:t>
      </w:r>
      <w:r>
        <w:rPr/>
        <w:t xml:space="preserve">KMiBM_W12, KMiBM_W14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KMiBM_U11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KMiBM_U16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 z ćwiczeń laboratoryjnych wykonane w grupie zakończone indywidualną oceną każdego ze studentów.</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2026-10-01T16:03:42+02:00</dcterms:created>
  <dcterms:modified xsi:type="dcterms:W3CDTF">2026-10-01T16:03:42+02:00</dcterms:modified>
</cp:coreProperties>
</file>

<file path=docProps/custom.xml><?xml version="1.0" encoding="utf-8"?>
<Properties xmlns="http://schemas.openxmlformats.org/officeDocument/2006/custom-properties" xmlns:vt="http://schemas.openxmlformats.org/officeDocument/2006/docPropsVTypes"/>
</file>