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Hydraulika stosowana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wykłady: dr inż. Krzysztof Wrzosek, laboratorium: dr hab. inż. Apoloniusz Kodura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1110-ISIWO -MSP-1405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- 15 godzin, ćwiczenia laboratoryjne - 15 godzin, przygotowanie do kolokwium z wykładów - 10 godzin, przygotowanie sprawozdań z ćwiczeń laboratoryjnych  - 10 godzin, przygotowanie do ćwiczeń laboratoryjnych - 10 godzin. Razem 60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na poziomie pierwszego roku studiów (różniczki, całki, równania różniczkowe zwyczajne i cząstkowe). Fizyka (dział mechaniki, elementy termodynamiki), Mechanika techniczna (poziom 1 roku studiów inżynierskich), Mechanika płynów 1 (poziom 1 roku studiów inżynierskich)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Wykład: Przedstawienie wybranych elementów z hydrauliki stosowanej istotnych dla problematyki dotyczącej konstrukcji i urządzeń inżynierii wodnej. Laboratorium: Zapoznanie z wybranymi zjawiskami hydraulicznymi ze szczególnym uwzględnieniem planowania eksperymentów, metodyki pomiarowej i analizy wyników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Wybrane zagadnienia: Kompozycja stopni piętrzących, erozja poniżej stopni piętrzących, kompozycja obiektów hydrotechnicznych – aspekty hydrauliczne. Przepływy w korytach otwartych: niejednostajny ruch ustalony - krzywe spiętrzenia, przejście przez próg, przewężenie koryta, odskok hydrauliczny. Hydraulika budowli wodnych: obliczanie przelewów, spustów dennych i dolnego stanowiska budowli piętrzących, przepusty, problemy filtracji. Zjawiska nieustalone - uderzenie hydrauliczne i wahania przepływu. Kawitacja. Zmiany oporności przewodów w czasie eksploatacji. Przepływy dwufazowe i przepływy cieczy nienewtonowskich. Podstawowe pojęcia reologii. Hydrotransport. Badania modelowe: zasady podobieństwa zjawisk i zasad badań modelowych, analiza wymiarowa, przykłady badań modelowych.
Ćwiczenia laboratoryjne: 1. Uderzenie hydrauliczne – taran hydrauliczny, 2. Ruch wirowy – wir swobodny i wymuszony 3. Analiza pracy turbiny wodnej - turbina Francisa, turbina Peltona 5. Filtracja 6. Analiza warunków przepływu przez kolano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zaliczenie pisemne. Laboratorium - opracowanie raportów z wykonanych badań, zaliczenie sprawdzianu na początku zajęć. Ocena zintegrowana: 60% oceny z kolokwium zaliczeniowego + 40% oceny końcowej z ćwiczeń laboratoryjnych.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Mitosek M. – „Mechanika Płynów w Inżynierii i Ochronie Środowiska” OWPW, Warszawa 2020 
2.	Mitosek M. – „Mechanika Płynów w Inżynierii i Ochronie Środowiska” PWN, Warszawa 2001
3.	Kubrak J., Nachlik E. – „Hydrauliczne podstawy obliczania przepustowości koryt rzecznych” Wydawnictwo SGGW, Warszawa 2003
4.	Mitosek M., Matlak M., Kodura A., Kubrak M.– „Zbiór zadań z mechaniki płynów” OWPW, Warszawa 2017
5.	Matlak M., Szuster A.– „Ćwiczenia laboratoryjne z mechaniki płynów” OWPW, Warszawa 2002
6.	Palarski J., „Hydrotransport” WNT Warszawa 1982
7.	Instrukcje na platformie Moodle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z hydrauliki mającej zastosowanie w analizie zjawisk zachodzących w przewodach/kanałach oraz obiektach hydrotechnicznych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z wykładów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IS_W01, IS_W03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Rozumie sens i praktyczne znaczenie wybranych zjawisk fizycznych: kawitacji, opadania swobodnego cząstek, sedymentacji, ruchu nieustalonego w przewodach ciśnieniowych, ruchu wolnozmiennego i szybkozmiennego w korytach otwartych, podstaw hydrotransportu.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z wykładów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IS_W01, IS_W03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Posiada szczegółową wiedzę w zakresie stosowanych technik pomiaru wielkości fizycznych związanych z przepływem cieczy w przewodach i kanałach.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z wykładów, obrona sprawozdań z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IS_W03, IS_W01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opisać: fizyczne cechy procesów swobodnego opadania cząstek, sedymentacji, kawitacji, ruchu nieustalonego w przewodach ciśnieniowych, ruchu wolnozmiennego i szybkozmiennego w korytach otwartych, hydrotransportu. Zna zasady na jakich opierają się techniki pomiaru lepkości cieczy oraz sposoby pomiaru wydatku cieczy oraz strat hydraulicznych w przewodach i kanałach.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wykładów, obrona sprawozdań z ćwiczeń laboratoryjnych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pracować samodzielnie studiując wybrane zagadnienia hydrauliki.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z wykładów.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IS_K01, IS_K02, IS_K03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I.P7S_KK, I.P7S_KR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Ma świadomość konieczności stałego pogłębiania wiedzy z obszaru praktycznego wykorzystania hydrauliki w zagadnieniach zaopatrzenia w wodę i odprowadzania ścieków.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z wykładów, obrona sprawozdań.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p>
      <w:pPr>
        <w:keepNext w:val="1"/>
        <w:spacing w:after="10"/>
      </w:pPr>
      <w:r>
        <w:rPr>
          <w:b/>
          <w:bCs/>
        </w:rPr>
        <w:t xml:space="preserve">Charakterystyka K03: </w:t>
      </w:r>
    </w:p>
    <w:p>
      <w:pPr/>
      <w:r>
        <w:rPr/>
        <w:t xml:space="preserve">Zna odpowiedzialność i skutki pracy zespołowej.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Wspólne sporządzanie i obrona sprawozdań.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IS_K01, IS_K02, IS_K04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I.P7S_KK, 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2026-07-28T12:14:53+02:00</dcterms:created>
  <dcterms:modified xsi:type="dcterms:W3CDTF">2026-07-28T12:14:53+02:00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