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hab.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30h, ćwiczenia audytoryjne: 15h, zapoznanie z literaturą: 10h, przygotowanie do kolokwium: 15h, przygotowanie do egzaminu: 30h.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podstawami chemii ogólnej oraz wybranymi zagadnieniami z zakresu chemii fizycznej niezbędnymi do kontynuacji studiów w zakresie inżynierii środowiska Treści wykładu obejmują elementy budowy materii, okresowość właściwości pierwiastków, budowę i rodzaje związków chemicznych, podstawy termochemii i kinetyki chemicznej, równowagi chemiczne, chemię roztworów wodnych, układy dyspersyjne, procesy adsorpcji i wymiany jonowej oraz wybrane elementy chemii organicznej. Po zaliczeniu przedmiotu CHEMIA student powinien rozumieć przemiany chemiczne zachodzące w środowisku oraz posiadać umiejętności interpretacji i ilościowego opisu podstawowych zjawisk fizykochemicznych ważnych dla inżynierii środowiska w aspekcie przewidywania i stosowania procesów chemicznych w neutralizacji zanieczyszczeń.</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Zakres materiału realizowanego w ramach ćwiczeń obejmuje wybrane zagadnienia prezentowane na wykładach orz podstawy obliczeń chemicznych.</w:t>
      </w:r>
    </w:p>
    <w:p>
      <w:pPr>
        <w:keepNext w:val="1"/>
        <w:spacing w:after="10"/>
      </w:pPr>
      <w:r>
        <w:rPr>
          <w:b/>
          <w:bCs/>
        </w:rPr>
        <w:t xml:space="preserve">Metody oceny: </w:t>
      </w:r>
    </w:p>
    <w:p>
      <w:pPr>
        <w:spacing w:before="20" w:after="190"/>
      </w:pPr>
      <w:r>
        <w:rPr/>
        <w:t xml:space="preserve">Egzamin pisemny obejmujący treści prezentowane na wykładach. Warunkiem zdania egzaminu jest uzyskanie 51% maksymalnej liczby punktów.
Kolokwium pisemne obejmujące zagadnienia realizowane w ramach ćwiczeń. Warunkiem zaliczenia kolokwium  jest uzyskanie 51% maksymalnej liczby punktów.
Ocenę łączną przedmiotu stanowi średnia ważona ocen (2/3 oceny z egzaminu i 1/3 oceny z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Warszawa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Rozpoznaje i definiuje wzajemne relacje zachodzące pomiędzy teoretycznymi i praktycznymi aspektami chemii.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2026-06-17T07:04:05+02:00</dcterms:created>
  <dcterms:modified xsi:type="dcterms:W3CDTF">2026-06-17T07:04:05+02:00</dcterms:modified>
</cp:coreProperties>
</file>

<file path=docProps/custom.xml><?xml version="1.0" encoding="utf-8"?>
<Properties xmlns="http://schemas.openxmlformats.org/officeDocument/2006/custom-properties" xmlns:vt="http://schemas.openxmlformats.org/officeDocument/2006/docPropsVTypes"/>
</file>