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Metody sztucznej inteligencji 2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 Prof. dr hab. inż. Jacek Mańdziuk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Informatyka i Systemy Informacyjne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1120-INMSI-MSP-0013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2021/2022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godziny kontaktowe - obecność na wykładzie, ćwiczeniach i zajęciach projektowych - 60h 
2) dodatkowe godziny przeznaczone na realizacje projektu - 30h
3) zapoznanie się z literaturą - 10h
4) przygotowanie prezentacji - 15h
Razem nakład pracy studenta 115h = 4p. ECTS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a) obecność na wykładzie, ćwiczeniach i zajęciach projektowych - 60h 
Razem: 60 h., co odpowiada 2 punktom ECTS.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a) ćwiczenia i zajęcia projektowe - 45h
b) dodatkowe godziny przeznaczone na realizacje projektu - 30h
c) przygotowanie prezentacji - 15h
Razem: 90h., co odpowiada 4 punktom ECTS.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Algorytmy grafowe, Metody sztucznej inteligencji 1, Rachunek prawdopodobieństwa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zaawansowanymi technikami sztucznej inteligencji a w szczególności z wybranymi zagadnieniami z obszaru inteligencji obliczeniowej. W ramach przedmiotu studenci poznają podstawy teoretyczne:
- metod inteligencji rojowej
- wybranych metod uczenia maszynowego
- wybranych metod klasyfikacyjnych
oraz ich zastosowania w obszarze gier umysłowych, zagadnień finansowych oraz bioinformatyki.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Treść wykładu stanowią zaawansowane zagadnienia dotyczące metod uczenia maszynowego, metod ewolucyjnych oraz metod inteligencji obliczeniowej w kontekście rozwiązywania złożonych problemów decyzyjnych, problemów optymalizacyjnych oraz analizy i drążenia danych. Szczególny nacisk położony jest na omówienie najnowszych trendów w ww. obszarach.
Ćwiczenia:
W trakcie ćwiczeń studenci samodzielnie przygotowują oraz przedstawiają referaty dotyczące zagadnień badawczych opublikowanych w bieżącej literaturze przedmiotu (czołowych czasopismach oraz materiałach konferencyjnych).
Projekt:
W ramach całosemestralnych projektów studenci w grupach 2-4 osobowych projektują oraz implementują programy rozwiązujące praktyczne, problemy z zakresu bioinformatyki, finansów czy gier umysłowych.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ważona ocena z przedstawionego referatu oraz wykonanego projektu.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W. Duch and J. Mańdziuk (eds.), Challenges to Computational Intelligence, Springer-Verlag, 2007.
2. J.Y.L. Wang, M.J. Zaki, H.T.T. Toivonen, D.E. Shasha (eds.), Data Mining in Bioinformatics, Springer-Verlag.
3. A. Brabazon and M. O’Neill, Biologically Inspired Algorithms for Financial Modelling, Springer.
4. Czasopisma IEEE TNN, IEEE TEC, IEEE TCIAIG, Machine Learning, Artificial Intelligence.
5. Materialy konferencyjne: NIPS, ICANN., IJCNN, ICONIP, ECAI, ICML, ICAISC, ICANNGA, i inne.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W01: </w:t>
      </w:r>
    </w:p>
    <w:p>
      <w:pPr/>
      <w:r>
        <w:rPr/>
        <w:t xml:space="preserve">Zna metody wykorzystania inteligencji obliczeniowej w zastosowaniach ekonomicznych (Business Intelligence)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merytorycznej referatu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I2SI_W06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W02: </w:t>
      </w:r>
    </w:p>
    <w:p>
      <w:pPr/>
      <w:r>
        <w:rPr/>
        <w:t xml:space="preserve">Zna zaawansowane metody uczenia maszynowego, metody ewolucyjne oraz metody inteligencji obliczeniowej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merytorycznej referatu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I2SI_W02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Posiada umiejętność gromadzenia, selekcji i krytycznej interpretacji informacji technicznej oraz zdolność formułowania poglądów, idei, problemów i ich rozwiązań oraz zdolność ich wyrażania i prezentowania specjalistom i niespecjalistom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merytorycznej referatu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U02: </w:t>
      </w:r>
    </w:p>
    <w:p>
      <w:pPr/>
      <w:r>
        <w:rPr/>
        <w:t xml:space="preserve">Potrafi w czytelny sposób prezentować wyniki eksperymentów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jakości merytorycznej oraz technologicznej wykonanego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I2_U08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U03: </w:t>
      </w:r>
    </w:p>
    <w:p>
      <w:pPr/>
      <w:r>
        <w:rPr/>
        <w:t xml:space="preserve">Potrafi bezproblemowo posługiwać się językiem angielskim w różnych obszarach tematycznych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zawartości merytorycznej referatu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I2_U10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U04: </w:t>
      </w:r>
    </w:p>
    <w:p>
      <w:pPr/>
      <w:r>
        <w:rPr/>
        <w:t xml:space="preserve">Potrafi pracować indywidualnie, w zespole oraz kierować niedużym zespołem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jakości merytorycznej oraz technologicznej wykonanego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Potrafi pracować indywidualnie, w zespole oraz kierować niedużym zespołem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jakości merytorycznej oraz technologicznej wykonanego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I2_U13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U06: </w:t>
      </w:r>
    </w:p>
    <w:p>
      <w:pPr/>
      <w:r>
        <w:rPr/>
        <w:t xml:space="preserve">Potrafi stosować metaheurystyczne metody optymalizacyjne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jakości merytorycznej oraz technologicznej wykonanego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I2SI_U03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U07: </w:t>
      </w:r>
    </w:p>
    <w:p>
      <w:pPr/>
      <w:r>
        <w:rPr/>
        <w:t xml:space="preserve">Potrafi stosować heurystyczne techniki przeszukiwania drzew i grafów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jakości merytorycznej oraz technologicznej wykonanego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I2SI_U04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Charakterystyka U08: </w:t>
      </w:r>
    </w:p>
    <w:p>
      <w:pPr/>
      <w:r>
        <w:rPr/>
        <w:t xml:space="preserve">Potrafi stosować metody sztucznej inteligencji do budowy systemów decyzyjnych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jakości merytorycznej oraz technologicznej wykonanego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I2SI_U07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Ma świadomość odpowiedzialności za wspólnie realizowane zadania w ramach pracy zespołowej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jakości merytorycznej oraz technologicznej wykonanego projektu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I2_K05, SI_K04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2026-09-12T00:22:55+02:00</dcterms:created>
  <dcterms:modified xsi:type="dcterms:W3CDTF">2026-09-12T00:22:55+02:00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